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03" w:rsidRDefault="00CE524F">
      <w:pPr>
        <w:pStyle w:val="af5"/>
        <w:spacing w:before="0" w:after="192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Дайджест:</w:t>
      </w:r>
    </w:p>
    <w:p w:rsidR="00526203" w:rsidRDefault="00CE524F">
      <w:pPr>
        <w:pStyle w:val="af5"/>
        <w:spacing w:before="0" w:after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торговля и Повестка-2030</w:t>
      </w:r>
    </w:p>
    <w:p w:rsidR="00526203" w:rsidRDefault="00526203">
      <w:pPr>
        <w:spacing w:after="192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203" w:rsidRDefault="00526203">
      <w:pPr>
        <w:spacing w:after="192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203" w:rsidRDefault="00CE524F">
      <w:pPr>
        <w:spacing w:after="192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 3, март 2020 г.</w:t>
      </w:r>
    </w:p>
    <w:p w:rsidR="00526203" w:rsidRDefault="00526203">
      <w:pPr>
        <w:spacing w:after="192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203" w:rsidRDefault="00526203">
      <w:pPr>
        <w:spacing w:after="192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dt>
      <w:sdtPr>
        <w:rPr>
          <w:caps w:val="0"/>
          <w:color w:val="auto"/>
          <w:spacing w:val="0"/>
          <w:sz w:val="22"/>
          <w:szCs w:val="22"/>
        </w:rPr>
        <w:id w:val="613866942"/>
        <w:docPartObj>
          <w:docPartGallery w:val="Table of Contents"/>
          <w:docPartUnique/>
        </w:docPartObj>
      </w:sdtPr>
      <w:sdtEndPr/>
      <w:sdtContent>
        <w:p w:rsidR="00526203" w:rsidRDefault="00CE524F">
          <w:pPr>
            <w:pStyle w:val="aff"/>
            <w:spacing w:before="0" w:after="192" w:line="240" w:lineRule="auto"/>
            <w:rPr>
              <w:rFonts w:ascii="Times New Roman" w:hAnsi="Times New Roman" w:cs="Times New Roman"/>
              <w:color w:val="000000" w:themeColor="text1"/>
            </w:rPr>
          </w:pPr>
          <w:r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526203" w:rsidRDefault="00526203">
          <w:pPr>
            <w:spacing w:after="192" w:line="240" w:lineRule="auto"/>
          </w:pPr>
        </w:p>
        <w:p w:rsidR="00526203" w:rsidRDefault="00CE524F">
          <w:pPr>
            <w:pStyle w:val="12"/>
            <w:tabs>
              <w:tab w:val="right" w:leader="dot" w:pos="1019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rPr>
              <w:rStyle w:val="af4"/>
              <w:rFonts w:ascii="Times New Roman" w:hAnsi="Times New Roman" w:cs="Times New Roman"/>
              <w:webHidden/>
              <w:sz w:val="28"/>
              <w:szCs w:val="28"/>
            </w:rPr>
            <w:instrText>TOC \z \o "1-3" \u \h</w:instrText>
          </w:r>
          <w:r>
            <w:rPr>
              <w:rStyle w:val="af4"/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6482745">
            <w:r>
              <w:rPr>
                <w:rStyle w:val="af4"/>
                <w:rFonts w:ascii="Times New Roman" w:hAnsi="Times New Roman" w:cs="Times New Roman"/>
                <w:webHidden/>
                <w:sz w:val="28"/>
                <w:szCs w:val="28"/>
              </w:rPr>
              <w:t>Содействие устойчивым инвестициям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_Toc36482745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:rsidR="00526203" w:rsidRDefault="003933B6">
          <w:pPr>
            <w:pStyle w:val="12"/>
            <w:tabs>
              <w:tab w:val="right" w:leader="dot" w:pos="10195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36482746">
            <w:r w:rsidR="00CE524F">
              <w:rPr>
                <w:rStyle w:val="af4"/>
                <w:rFonts w:ascii="Times New Roman" w:hAnsi="Times New Roman" w:cs="Times New Roman"/>
                <w:webHidden/>
                <w:sz w:val="28"/>
                <w:szCs w:val="28"/>
              </w:rPr>
              <w:t>Электронная регистрация новых предприятий в Бенине</w:t>
            </w:r>
            <w:r w:rsidR="00CE524F">
              <w:rPr>
                <w:webHidden/>
              </w:rPr>
              <w:fldChar w:fldCharType="begin"/>
            </w:r>
            <w:r w:rsidR="00CE524F">
              <w:rPr>
                <w:webHidden/>
              </w:rPr>
              <w:instrText>PAGEREF _Toc36482746 \h</w:instrText>
            </w:r>
            <w:r w:rsidR="00CE524F">
              <w:rPr>
                <w:webHidden/>
              </w:rPr>
            </w:r>
            <w:r w:rsidR="00CE524F">
              <w:rPr>
                <w:webHidden/>
              </w:rPr>
              <w:fldChar w:fldCharType="separate"/>
            </w:r>
            <w:r w:rsidR="00CE524F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ab/>
              <w:t>3</w:t>
            </w:r>
            <w:r w:rsidR="00CE524F">
              <w:rPr>
                <w:webHidden/>
              </w:rPr>
              <w:fldChar w:fldCharType="end"/>
            </w:r>
          </w:hyperlink>
        </w:p>
        <w:p w:rsidR="00526203" w:rsidRDefault="003933B6">
          <w:pPr>
            <w:pStyle w:val="12"/>
            <w:tabs>
              <w:tab w:val="right" w:leader="dot" w:pos="10195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36482747">
            <w:r w:rsidR="00CE524F">
              <w:rPr>
                <w:rStyle w:val="af4"/>
                <w:rFonts w:ascii="Times New Roman" w:hAnsi="Times New Roman" w:cs="Times New Roman"/>
                <w:webHidden/>
                <w:sz w:val="28"/>
                <w:szCs w:val="28"/>
              </w:rPr>
              <w:t>ЮНКТАД рас</w:t>
            </w:r>
            <w:r w:rsidR="00CE524F">
              <w:rPr>
                <w:rStyle w:val="af4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E524F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 xml:space="preserve">читал экономические последствия </w:t>
            </w:r>
            <w:r w:rsidR="00CE524F">
              <w:rPr>
                <w:rStyle w:val="af4"/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CE524F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>-19</w:t>
            </w:r>
            <w:r w:rsidR="00CE524F">
              <w:rPr>
                <w:webHidden/>
              </w:rPr>
              <w:fldChar w:fldCharType="begin"/>
            </w:r>
            <w:r w:rsidR="00CE524F">
              <w:rPr>
                <w:webHidden/>
              </w:rPr>
              <w:instrText>PAGEREF _Toc36482747 \h</w:instrText>
            </w:r>
            <w:r w:rsidR="00CE524F">
              <w:rPr>
                <w:webHidden/>
              </w:rPr>
            </w:r>
            <w:r w:rsidR="00CE524F">
              <w:rPr>
                <w:webHidden/>
              </w:rPr>
              <w:fldChar w:fldCharType="separate"/>
            </w:r>
            <w:r w:rsidR="00CE524F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ab/>
              <w:t>4</w:t>
            </w:r>
            <w:r w:rsidR="00CE524F">
              <w:rPr>
                <w:webHidden/>
              </w:rPr>
              <w:fldChar w:fldCharType="end"/>
            </w:r>
          </w:hyperlink>
        </w:p>
        <w:p w:rsidR="00526203" w:rsidRDefault="003933B6">
          <w:pPr>
            <w:pStyle w:val="12"/>
            <w:tabs>
              <w:tab w:val="right" w:leader="dot" w:pos="10195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36482748">
            <w:r w:rsidR="00CE524F">
              <w:rPr>
                <w:rStyle w:val="af4"/>
                <w:rFonts w:ascii="Times New Roman" w:hAnsi="Times New Roman" w:cs="Times New Roman"/>
                <w:webHidden/>
                <w:sz w:val="28"/>
                <w:szCs w:val="28"/>
              </w:rPr>
              <w:t xml:space="preserve">Малое и среднее предпринимательство в условиях </w:t>
            </w:r>
            <w:r w:rsidR="00CE524F">
              <w:rPr>
                <w:rStyle w:val="af4"/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CE524F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>-19</w:t>
            </w:r>
            <w:r w:rsidR="00CE524F">
              <w:rPr>
                <w:webHidden/>
              </w:rPr>
              <w:fldChar w:fldCharType="begin"/>
            </w:r>
            <w:r w:rsidR="00CE524F">
              <w:rPr>
                <w:webHidden/>
              </w:rPr>
              <w:instrText>PAGEREF _Toc36482748 \h</w:instrText>
            </w:r>
            <w:r w:rsidR="00CE524F">
              <w:rPr>
                <w:webHidden/>
              </w:rPr>
            </w:r>
            <w:r w:rsidR="00CE524F">
              <w:rPr>
                <w:webHidden/>
              </w:rPr>
              <w:fldChar w:fldCharType="separate"/>
            </w:r>
            <w:r w:rsidR="00CE524F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ab/>
              <w:t>5</w:t>
            </w:r>
            <w:r w:rsidR="00CE524F">
              <w:rPr>
                <w:webHidden/>
              </w:rPr>
              <w:fldChar w:fldCharType="end"/>
            </w:r>
          </w:hyperlink>
        </w:p>
        <w:p w:rsidR="00526203" w:rsidRDefault="003933B6">
          <w:pPr>
            <w:pStyle w:val="12"/>
            <w:tabs>
              <w:tab w:val="right" w:leader="dot" w:pos="10195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36482749">
            <w:r w:rsidR="00CE524F">
              <w:rPr>
                <w:rStyle w:val="af4"/>
                <w:rFonts w:ascii="Times New Roman" w:hAnsi="Times New Roman" w:cs="Times New Roman"/>
                <w:webHidden/>
                <w:sz w:val="28"/>
                <w:szCs w:val="28"/>
              </w:rPr>
              <w:t>Ситуация в области гендерного равенства</w:t>
            </w:r>
            <w:r w:rsidR="00CE524F">
              <w:rPr>
                <w:webHidden/>
              </w:rPr>
              <w:fldChar w:fldCharType="begin"/>
            </w:r>
            <w:r w:rsidR="00CE524F">
              <w:rPr>
                <w:webHidden/>
              </w:rPr>
              <w:instrText>PAGEREF _Toc36482749 \h</w:instrText>
            </w:r>
            <w:r w:rsidR="00CE524F">
              <w:rPr>
                <w:webHidden/>
              </w:rPr>
            </w:r>
            <w:r w:rsidR="00CE524F">
              <w:rPr>
                <w:webHidden/>
              </w:rPr>
              <w:fldChar w:fldCharType="separate"/>
            </w:r>
            <w:r w:rsidR="00CE524F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ab/>
              <w:t>6</w:t>
            </w:r>
            <w:r w:rsidR="00CE524F">
              <w:rPr>
                <w:webHidden/>
              </w:rPr>
              <w:fldChar w:fldCharType="end"/>
            </w:r>
          </w:hyperlink>
        </w:p>
        <w:p w:rsidR="00526203" w:rsidRDefault="003933B6">
          <w:pPr>
            <w:pStyle w:val="12"/>
            <w:tabs>
              <w:tab w:val="right" w:leader="dot" w:pos="10195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36482750">
            <w:r w:rsidR="00CE524F">
              <w:rPr>
                <w:rStyle w:val="af4"/>
                <w:rFonts w:ascii="Times New Roman" w:hAnsi="Times New Roman" w:cs="Times New Roman"/>
                <w:webHidden/>
                <w:sz w:val="28"/>
                <w:szCs w:val="28"/>
              </w:rPr>
              <w:t>Расширение прав и возможностей женщин</w:t>
            </w:r>
            <w:r w:rsidR="00CE524F">
              <w:rPr>
                <w:webHidden/>
              </w:rPr>
              <w:fldChar w:fldCharType="begin"/>
            </w:r>
            <w:r w:rsidR="00CE524F">
              <w:rPr>
                <w:webHidden/>
              </w:rPr>
              <w:instrText>PAGEREF _Toc36482750 \h</w:instrText>
            </w:r>
            <w:r w:rsidR="00CE524F">
              <w:rPr>
                <w:webHidden/>
              </w:rPr>
            </w:r>
            <w:r w:rsidR="00CE524F">
              <w:rPr>
                <w:webHidden/>
              </w:rPr>
              <w:fldChar w:fldCharType="separate"/>
            </w:r>
            <w:r w:rsidR="00CE524F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ab/>
              <w:t>7</w:t>
            </w:r>
            <w:r w:rsidR="00CE524F">
              <w:rPr>
                <w:webHidden/>
              </w:rPr>
              <w:fldChar w:fldCharType="end"/>
            </w:r>
          </w:hyperlink>
        </w:p>
        <w:p w:rsidR="00526203" w:rsidRDefault="003933B6">
          <w:pPr>
            <w:pStyle w:val="12"/>
            <w:tabs>
              <w:tab w:val="right" w:leader="dot" w:pos="10195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36482751">
            <w:r w:rsidR="00CE524F">
              <w:rPr>
                <w:rStyle w:val="af4"/>
                <w:rFonts w:ascii="Times New Roman" w:hAnsi="Times New Roman" w:cs="Times New Roman"/>
                <w:webHidden/>
                <w:sz w:val="28"/>
                <w:szCs w:val="28"/>
              </w:rPr>
              <w:t>Работа после презентации добровольных национальных обзоров</w:t>
            </w:r>
            <w:r w:rsidR="00CE524F">
              <w:rPr>
                <w:webHidden/>
              </w:rPr>
              <w:fldChar w:fldCharType="begin"/>
            </w:r>
            <w:r w:rsidR="00CE524F">
              <w:rPr>
                <w:webHidden/>
              </w:rPr>
              <w:instrText>PAGEREF _Toc36482751 \h</w:instrText>
            </w:r>
            <w:r w:rsidR="00CE524F">
              <w:rPr>
                <w:webHidden/>
              </w:rPr>
            </w:r>
            <w:r w:rsidR="00CE524F">
              <w:rPr>
                <w:webHidden/>
              </w:rPr>
              <w:fldChar w:fldCharType="separate"/>
            </w:r>
            <w:r w:rsidR="00CE524F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ab/>
              <w:t>8</w:t>
            </w:r>
            <w:r w:rsidR="00CE524F">
              <w:rPr>
                <w:webHidden/>
              </w:rPr>
              <w:fldChar w:fldCharType="end"/>
            </w:r>
          </w:hyperlink>
        </w:p>
        <w:p w:rsidR="00526203" w:rsidRPr="000A2D70" w:rsidRDefault="003933B6">
          <w:pPr>
            <w:pStyle w:val="12"/>
            <w:tabs>
              <w:tab w:val="right" w:leader="dot" w:pos="10195"/>
            </w:tabs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hyperlink w:anchor="_Toc36482752">
            <w:r w:rsidR="00CE524F">
              <w:rPr>
                <w:rStyle w:val="af4"/>
                <w:rFonts w:ascii="Times New Roman" w:hAnsi="Times New Roman" w:cs="Times New Roman"/>
                <w:webHidden/>
                <w:sz w:val="28"/>
                <w:szCs w:val="28"/>
              </w:rPr>
              <w:t>Прогресс в достижении ЦУР в Азиатско-Тихоокеанском регионе</w:t>
            </w:r>
            <w:r w:rsidR="00CE524F">
              <w:rPr>
                <w:webHidden/>
              </w:rPr>
              <w:fldChar w:fldCharType="begin"/>
            </w:r>
            <w:r w:rsidR="00CE524F">
              <w:rPr>
                <w:webHidden/>
              </w:rPr>
              <w:instrText>PAGEREF _Toc36482752 \h</w:instrText>
            </w:r>
            <w:r w:rsidR="00CE524F">
              <w:rPr>
                <w:webHidden/>
              </w:rPr>
            </w:r>
            <w:r w:rsidR="00CE524F">
              <w:rPr>
                <w:webHidden/>
              </w:rPr>
              <w:fldChar w:fldCharType="separate"/>
            </w:r>
            <w:r w:rsidR="00CE524F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ab/>
            </w:r>
            <w:r w:rsidR="00CE524F">
              <w:rPr>
                <w:webHidden/>
              </w:rPr>
              <w:fldChar w:fldCharType="end"/>
            </w:r>
          </w:hyperlink>
          <w:r w:rsidR="000A2D70" w:rsidRPr="000A2D70">
            <w:rPr>
              <w:rFonts w:ascii="Times New Roman" w:hAnsi="Times New Roman" w:cs="Times New Roman"/>
              <w:sz w:val="28"/>
              <w:szCs w:val="28"/>
              <w:lang w:val="en-US"/>
            </w:rPr>
            <w:t>9</w:t>
          </w:r>
        </w:p>
        <w:p w:rsidR="00526203" w:rsidRPr="00A726AE" w:rsidRDefault="003933B6">
          <w:pPr>
            <w:pStyle w:val="12"/>
            <w:tabs>
              <w:tab w:val="right" w:leader="dot" w:pos="10195"/>
            </w:tabs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hyperlink w:anchor="_Toc36482753">
            <w:r w:rsidR="00CE524F">
              <w:rPr>
                <w:rStyle w:val="af4"/>
                <w:rFonts w:ascii="Times New Roman" w:hAnsi="Times New Roman" w:cs="Times New Roman"/>
                <w:webHidden/>
                <w:sz w:val="28"/>
                <w:szCs w:val="28"/>
              </w:rPr>
              <w:t>Инструмент визуалицации данных  по индикаторам ЦУР ЕЭК ООН</w:t>
            </w:r>
            <w:r w:rsidR="00CE524F">
              <w:rPr>
                <w:webHidden/>
              </w:rPr>
              <w:fldChar w:fldCharType="begin"/>
            </w:r>
            <w:r w:rsidR="00CE524F">
              <w:rPr>
                <w:webHidden/>
              </w:rPr>
              <w:instrText>PAGEREF _Toc36482753 \h</w:instrText>
            </w:r>
            <w:r w:rsidR="00CE524F">
              <w:rPr>
                <w:webHidden/>
              </w:rPr>
            </w:r>
            <w:r w:rsidR="00CE524F">
              <w:rPr>
                <w:webHidden/>
              </w:rPr>
              <w:fldChar w:fldCharType="separate"/>
            </w:r>
            <w:r w:rsidR="00CE524F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ab/>
              <w:t>1</w:t>
            </w:r>
            <w:r w:rsidR="00CE524F">
              <w:rPr>
                <w:webHidden/>
              </w:rPr>
              <w:fldChar w:fldCharType="end"/>
            </w:r>
          </w:hyperlink>
          <w:r w:rsidR="00A726AE" w:rsidRPr="00A726AE">
            <w:rPr>
              <w:rFonts w:ascii="Times New Roman" w:hAnsi="Times New Roman" w:cs="Times New Roman"/>
              <w:sz w:val="28"/>
              <w:szCs w:val="28"/>
              <w:lang w:val="en-US"/>
            </w:rPr>
            <w:t>0</w:t>
          </w:r>
        </w:p>
        <w:p w:rsidR="00526203" w:rsidRDefault="003933B6">
          <w:pPr>
            <w:pStyle w:val="12"/>
            <w:tabs>
              <w:tab w:val="right" w:leader="dot" w:pos="10195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36482754">
            <w:r w:rsidR="00CE524F">
              <w:rPr>
                <w:rStyle w:val="af4"/>
                <w:rFonts w:ascii="Times New Roman" w:hAnsi="Times New Roman" w:cs="Times New Roman"/>
                <w:webHidden/>
                <w:sz w:val="28"/>
                <w:szCs w:val="28"/>
              </w:rPr>
              <w:t>Оценка влияния крупнейших американских компаний  на Повестку-2030</w:t>
            </w:r>
            <w:r w:rsidR="00CE524F">
              <w:rPr>
                <w:webHidden/>
              </w:rPr>
              <w:fldChar w:fldCharType="begin"/>
            </w:r>
            <w:r w:rsidR="00CE524F">
              <w:rPr>
                <w:webHidden/>
              </w:rPr>
              <w:instrText>PAGEREF _Toc36482754 \h</w:instrText>
            </w:r>
            <w:r w:rsidR="00CE524F">
              <w:rPr>
                <w:webHidden/>
              </w:rPr>
            </w:r>
            <w:r w:rsidR="00CE524F">
              <w:rPr>
                <w:webHidden/>
              </w:rPr>
              <w:fldChar w:fldCharType="separate"/>
            </w:r>
            <w:r w:rsidR="00CE524F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ab/>
              <w:t>1</w:t>
            </w:r>
            <w:r w:rsidR="00A726AE">
              <w:rPr>
                <w:rStyle w:val="af4"/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E524F">
              <w:rPr>
                <w:webHidden/>
              </w:rPr>
              <w:fldChar w:fldCharType="end"/>
            </w:r>
          </w:hyperlink>
        </w:p>
        <w:p w:rsidR="00526203" w:rsidRDefault="00CE524F">
          <w:pPr>
            <w:spacing w:after="192" w:line="240" w:lineRule="auto"/>
          </w:pPr>
          <w:r>
            <w:fldChar w:fldCharType="end"/>
          </w:r>
        </w:p>
      </w:sdtContent>
    </w:sdt>
    <w:p w:rsidR="00526203" w:rsidRDefault="00CE524F">
      <w:pPr>
        <w:spacing w:after="192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>
        <w:br w:type="page"/>
      </w:r>
    </w:p>
    <w:p w:rsidR="00526203" w:rsidRDefault="00CE524F">
      <w:pPr>
        <w:pStyle w:val="1"/>
        <w:spacing w:before="0" w:after="144" w:line="240" w:lineRule="auto"/>
        <w:rPr>
          <w:rFonts w:ascii="Times New Roman" w:hAnsi="Times New Roman" w:cs="Times New Roman"/>
        </w:rPr>
      </w:pPr>
      <w:bookmarkStart w:id="1" w:name="_Toc36482745"/>
      <w:r>
        <w:rPr>
          <w:rFonts w:ascii="Times New Roman" w:hAnsi="Times New Roman" w:cs="Times New Roman"/>
        </w:rPr>
        <w:lastRenderedPageBreak/>
        <w:t>Содействие устойчивым инвестициям</w:t>
      </w:r>
      <w:bookmarkEnd w:id="1"/>
    </w:p>
    <w:tbl>
      <w:tblPr>
        <w:tblStyle w:val="-1"/>
        <w:tblW w:w="10421" w:type="dxa"/>
        <w:tblLook w:val="04A0" w:firstRow="1" w:lastRow="0" w:firstColumn="1" w:lastColumn="0" w:noHBand="0" w:noVBand="1"/>
      </w:tblPr>
      <w:tblGrid>
        <w:gridCol w:w="2092"/>
        <w:gridCol w:w="8329"/>
      </w:tblGrid>
      <w:tr w:rsidR="00526203" w:rsidTr="00526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Мероприятие:</w:t>
            </w:r>
          </w:p>
        </w:tc>
        <w:tc>
          <w:tcPr>
            <w:tcW w:w="8328" w:type="dxa"/>
            <w:shd w:val="clear" w:color="auto" w:fill="FFFFFF" w:themeFill="background1"/>
          </w:tcPr>
          <w:p w:rsidR="00526203" w:rsidRPr="00CB3A47" w:rsidRDefault="00CE524F">
            <w:pPr>
              <w:spacing w:after="14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B3A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Онлайн семинары по вопросам содействия инвестициям в целях развития. Организаторы: Международный торговый центр ЮНКТАД/ВТО (МТЦ) и Немецкий институт развития:</w:t>
            </w:r>
          </w:p>
          <w:p w:rsidR="00526203" w:rsidRPr="00CB3A47" w:rsidRDefault="00CE524F">
            <w:pPr>
              <w:pStyle w:val="aff2"/>
              <w:spacing w:after="144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:highlight w:val="white"/>
              </w:rPr>
            </w:pPr>
            <w:r w:rsidRPr="00CB3A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семинар по конкретным мерам, направленным </w:t>
            </w:r>
            <w:r w:rsidRPr="00CB3A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br/>
              <w:t>на упрощение процедур по привлечению устойчивых потоков прямых иностранных инвестиций (ПИИ)</w:t>
            </w:r>
          </w:p>
          <w:p w:rsidR="00526203" w:rsidRPr="00CB3A47" w:rsidRDefault="00CE524F">
            <w:pPr>
              <w:pStyle w:val="aff2"/>
              <w:spacing w:after="144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highlight w:val="white"/>
              </w:rPr>
            </w:pPr>
            <w:r w:rsidRPr="00CB3A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11 марта 2020 г.;</w:t>
            </w:r>
          </w:p>
          <w:p w:rsidR="00526203" w:rsidRPr="00CB3A47" w:rsidRDefault="00526203">
            <w:pPr>
              <w:pStyle w:val="aff2"/>
              <w:spacing w:after="144"/>
              <w:ind w:left="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highlight w:val="white"/>
              </w:rPr>
            </w:pPr>
          </w:p>
          <w:p w:rsidR="00526203" w:rsidRPr="00CB3A47" w:rsidRDefault="00CE524F">
            <w:pPr>
              <w:pStyle w:val="aff2"/>
              <w:spacing w:after="144"/>
              <w:ind w:left="3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:highlight w:val="white"/>
              </w:rPr>
            </w:pPr>
            <w:r w:rsidRPr="00CB3A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семинар о роли многосторонних рамок по упрощению инвестиционных процедур (УПИ) в контексте привлечения устойчивых ПИИ в целях развития, включая корпоративную социальную ответственность</w:t>
            </w:r>
          </w:p>
          <w:p w:rsidR="00526203" w:rsidRDefault="00CE524F">
            <w:pPr>
              <w:pStyle w:val="aff2"/>
              <w:spacing w:after="144"/>
              <w:ind w:left="3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</w:pPr>
            <w:r w:rsidRPr="00CB3A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  <w:r w:rsidRPr="00CB3A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en-US"/>
              </w:rPr>
              <w:t>9</w:t>
            </w:r>
            <w:r w:rsidRPr="00CB3A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марта 2020 г.</w:t>
            </w:r>
          </w:p>
        </w:tc>
      </w:tr>
      <w:tr w:rsidR="00526203" w:rsidTr="0052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Суть вопроса: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Pr="006B6BA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6B6BA7">
              <w:rPr>
                <w:color w:val="000000" w:themeColor="text1"/>
                <w:sz w:val="28"/>
                <w:szCs w:val="28"/>
              </w:rPr>
              <w:t xml:space="preserve">В ходе семинаров поднимались вопросы об увеличении вклада ПИИ в устойчивое развитие в принимающих странах в рамках переговоров на площадке ВТО (планируемые 12 марта 2020 г. переговоры отменены в связи с распространением </w:t>
            </w:r>
            <w:r w:rsidRPr="006B6BA7">
              <w:rPr>
                <w:color w:val="000000" w:themeColor="text1"/>
                <w:sz w:val="28"/>
                <w:szCs w:val="28"/>
                <w:lang w:val="en-US"/>
              </w:rPr>
              <w:t>COVID</w:t>
            </w:r>
            <w:r w:rsidRPr="006B6BA7">
              <w:rPr>
                <w:color w:val="000000" w:themeColor="text1"/>
                <w:sz w:val="28"/>
                <w:szCs w:val="28"/>
              </w:rPr>
              <w:t>-19).</w:t>
            </w:r>
          </w:p>
        </w:tc>
      </w:tr>
      <w:tr w:rsidR="00526203" w:rsidTr="00526203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Текущая ситуация: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>УПИ – критически важный фактор для инклюзивного экономического роста и достижения Целей устойчивого развития (ЦУР). Повышение прозрачности, предсказуемости и эффективности нормативного регулирования в области инвестиционной деятельности является существенным вопросом для всех стран, но особенно для развивающихся, поскольку им ежегодно требуется 2,5 трлн. долл. США инвестиций для выполнения169 задач ЦУР.</w:t>
            </w:r>
          </w:p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>Несмотря на понимание выгод от создания привлекательного инвестиционного климата, страны уделяют недостаточное внимание вопросам УПИ как на национальном, так и на международном уровнях.</w:t>
            </w:r>
          </w:p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>Между тем, упрощение инвестиционных процедур, повышение их прозрачности, предсказуемости и эффективности могут помочь странам решить, в частности, такие актуальные задачи, как диверсификация экспорта, интеграция в глобальные цепочки создания стоимости, а также осуществить переход к «зеленой» и цифровой экономике и выполнить ЦУР.</w:t>
            </w:r>
          </w:p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>Обсуждения по УПИ ведутся на разных форумах, в том числе в ОЭСР, ЮНКТАД и ВТО. Идея о международном соглашении по упрощению процедур привлечения инвестиций получила свое начало в ходе дискуссий в рамках Инициативы Е15 в 2015 году и затем обсуждалась на встречах стран «Группы 20».</w:t>
            </w:r>
          </w:p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lastRenderedPageBreak/>
              <w:t>Дискуссии, которые находятся в ВТО пока еще на начальном этапе, должны были продолжиться, начиная с 12 марта 2020 г. Основная цель переговоров в ВТО – увеличить поток устойчивых ПИИ с целью содействия устойчивому развитию.</w:t>
            </w:r>
          </w:p>
        </w:tc>
      </w:tr>
      <w:tr w:rsidR="00526203" w:rsidTr="0052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Дальнейшие шаги: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Pr="00CB3A47" w:rsidRDefault="00CE52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Как предполагают организаторы, серия семинаров по указанному вопросу поможет странам-членам выработать эффективные подходы к принятию </w:t>
            </w:r>
            <w:proofErr w:type="spellStart"/>
            <w:r w:rsidRPr="00CB3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консенсусного</w:t>
            </w:r>
            <w:proofErr w:type="spellEnd"/>
            <w:r w:rsidRPr="00CB3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решения на предстоящих переговорах ВТО по многосторонним рамкам по содействию привлечения ПИИ в целях развития.</w:t>
            </w:r>
          </w:p>
        </w:tc>
      </w:tr>
      <w:tr w:rsidR="00526203" w:rsidTr="0052620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ЦУР: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hd w:val="clear" w:color="auto" w:fill="FFFFFF"/>
              <w:spacing w:beforeAutospacing="1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(ликвидация нищеты),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(достойная работа и экономический рост),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(индустриализация, инновации и инфраструктура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), </w:t>
            </w: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(уменьшение неравенства),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(ответственное производство и потребление),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(партнерство в интересах устойчивого развития)</w:t>
            </w:r>
          </w:p>
        </w:tc>
      </w:tr>
      <w:tr w:rsidR="00526203" w:rsidTr="0052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Ссылка:</w:t>
            </w:r>
          </w:p>
        </w:tc>
        <w:tc>
          <w:tcPr>
            <w:tcW w:w="8328" w:type="dxa"/>
            <w:tcBorders>
              <w:top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https://www.die-gdi.de/en/events/details/concrete-measures-to-facilitate-the-flow-of-sustainable-fdi/</w:t>
            </w:r>
          </w:p>
        </w:tc>
      </w:tr>
    </w:tbl>
    <w:p w:rsidR="00526203" w:rsidRDefault="00526203">
      <w:pPr>
        <w:pStyle w:val="1"/>
        <w:spacing w:before="0" w:after="192" w:line="240" w:lineRule="auto"/>
        <w:jc w:val="left"/>
        <w:rPr>
          <w:rFonts w:ascii="Times New Roman" w:hAnsi="Times New Roman" w:cs="Times New Roman"/>
          <w:color w:val="000000" w:themeColor="text1"/>
        </w:rPr>
      </w:pPr>
    </w:p>
    <w:p w:rsidR="00526203" w:rsidRDefault="00CE524F">
      <w:pPr>
        <w:pStyle w:val="1"/>
        <w:spacing w:before="0" w:after="192" w:line="240" w:lineRule="auto"/>
        <w:rPr>
          <w:rFonts w:ascii="Times New Roman" w:hAnsi="Times New Roman" w:cs="Times New Roman"/>
          <w:color w:val="000000" w:themeColor="text1"/>
        </w:rPr>
      </w:pPr>
      <w:bookmarkStart w:id="2" w:name="_Toc36482746"/>
      <w:r>
        <w:rPr>
          <w:rFonts w:ascii="Times New Roman" w:hAnsi="Times New Roman" w:cs="Times New Roman"/>
          <w:color w:val="000000" w:themeColor="text1"/>
        </w:rPr>
        <w:t>Электронная регистрация новых предприятий в Бенине</w:t>
      </w:r>
      <w:bookmarkEnd w:id="2"/>
    </w:p>
    <w:tbl>
      <w:tblPr>
        <w:tblStyle w:val="-1"/>
        <w:tblW w:w="10421" w:type="dxa"/>
        <w:tblLook w:val="04A0" w:firstRow="1" w:lastRow="0" w:firstColumn="1" w:lastColumn="0" w:noHBand="0" w:noVBand="1"/>
      </w:tblPr>
      <w:tblGrid>
        <w:gridCol w:w="2092"/>
        <w:gridCol w:w="8329"/>
      </w:tblGrid>
      <w:tr w:rsidR="00526203" w:rsidTr="00526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Мероприятие:</w:t>
            </w:r>
          </w:p>
        </w:tc>
        <w:tc>
          <w:tcPr>
            <w:tcW w:w="8328" w:type="dxa"/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Запуск единой онлайн платформы по регистрации новых предприятий в Бенине при поддержке ЮНКТАД</w:t>
            </w:r>
          </w:p>
          <w:p w:rsidR="00526203" w:rsidRDefault="00CE524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марта 2020 г.</w:t>
            </w:r>
          </w:p>
        </w:tc>
      </w:tr>
      <w:tr w:rsidR="00526203" w:rsidTr="0052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Суть вопроса: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pStyle w:val="aff3"/>
              <w:shd w:val="clear" w:color="auto" w:fill="FFFFFF"/>
              <w:spacing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>Бенин использует инструмент электронного правительства с целью создания благоприятных условий для расширения предпринимательской деятельности.</w:t>
            </w:r>
          </w:p>
        </w:tc>
      </w:tr>
      <w:tr w:rsidR="00526203" w:rsidTr="00526203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Текущая ситуация: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Pr="006B6BA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6B6BA7">
              <w:rPr>
                <w:color w:val="000000" w:themeColor="text1"/>
                <w:sz w:val="28"/>
                <w:szCs w:val="28"/>
              </w:rPr>
              <w:t>Инструмент позволяет предпринимателям, будучи в Бенине или за рубежом, дистанционно начать свой бизнес в течение двух часов. В</w:t>
            </w:r>
            <w:r w:rsidRPr="006B6BA7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B6BA7">
              <w:rPr>
                <w:color w:val="000000" w:themeColor="text1"/>
                <w:sz w:val="28"/>
                <w:szCs w:val="28"/>
              </w:rPr>
              <w:t xml:space="preserve">настоящее время это единственный способ официального оформления предприятий в условиях закрытия государственных учреждений как одной из мер по сокращению распространения </w:t>
            </w:r>
            <w:proofErr w:type="spellStart"/>
            <w:r w:rsidRPr="006B6BA7">
              <w:rPr>
                <w:color w:val="000000" w:themeColor="text1"/>
                <w:sz w:val="28"/>
                <w:szCs w:val="28"/>
              </w:rPr>
              <w:t>коронавируса</w:t>
            </w:r>
            <w:proofErr w:type="spellEnd"/>
            <w:r w:rsidRPr="006B6BA7">
              <w:rPr>
                <w:color w:val="000000" w:themeColor="text1"/>
                <w:sz w:val="28"/>
                <w:szCs w:val="28"/>
              </w:rPr>
              <w:t xml:space="preserve">. В общей сложности за неделю </w:t>
            </w:r>
            <w:r w:rsidRPr="006B6BA7">
              <w:rPr>
                <w:color w:val="000000" w:themeColor="text1"/>
                <w:sz w:val="28"/>
                <w:szCs w:val="28"/>
              </w:rPr>
              <w:br/>
              <w:t>с 16 по 20 марта 2020</w:t>
            </w:r>
            <w:r w:rsidRPr="006B6BA7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B6BA7">
              <w:rPr>
                <w:color w:val="000000" w:themeColor="text1"/>
                <w:sz w:val="28"/>
                <w:szCs w:val="28"/>
              </w:rPr>
              <w:t>г. было создано 138 новых предприятий. С</w:t>
            </w:r>
            <w:r w:rsidRPr="006B6BA7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B6BA7">
              <w:rPr>
                <w:color w:val="000000" w:themeColor="text1"/>
                <w:sz w:val="28"/>
                <w:szCs w:val="28"/>
              </w:rPr>
              <w:t>момента запуска проекта свое дело открыли 451 женщина и 1296 мужчин.</w:t>
            </w:r>
          </w:p>
          <w:p w:rsidR="00526203" w:rsidRPr="006B6BA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6B6BA7">
              <w:rPr>
                <w:color w:val="000000" w:themeColor="text1"/>
                <w:sz w:val="28"/>
                <w:szCs w:val="28"/>
              </w:rPr>
              <w:t>Новое единое окно устраняет бюрократическую волокиту и укрепляет доверие к правительству среди предпринимателей, многие из которых хотели официально оформить свою деятельность, но ранее были ограничены временными и стоимостными препятствиями.</w:t>
            </w:r>
          </w:p>
          <w:p w:rsidR="00526203" w:rsidRPr="006B6BA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6B6BA7">
              <w:rPr>
                <w:color w:val="000000" w:themeColor="text1"/>
                <w:sz w:val="28"/>
                <w:szCs w:val="28"/>
              </w:rPr>
              <w:t>Предлагая предпринимателям 100% онлайн-регистрацию бизнеса с помощью нового единого окна, Бенин получил высший балл на сайте ger.co (индекс систем регистрации бизнеса), присоединившись к шести лидерам, включая Данию, Кению, Новую Зеландию, Оман и Швейцарию.</w:t>
            </w:r>
          </w:p>
          <w:p w:rsidR="00526203" w:rsidRPr="006B6BA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6B6BA7">
              <w:rPr>
                <w:color w:val="000000" w:themeColor="text1"/>
                <w:sz w:val="28"/>
                <w:szCs w:val="28"/>
              </w:rPr>
              <w:lastRenderedPageBreak/>
              <w:t>Открытие и ведение бизнеса в развивающихся странах зачастую затруднено по причине неэффективных, непрозрачных и обременительных административных процедур. В Африке эти сдерживающие факторы осложняются высокой долей теневой экономики. Так, в 2009 году в Бенине, согласно данным Национального статистического агентства, в неформальном секторе было занято 95% населения, формирующее до 70% ВВП.</w:t>
            </w:r>
          </w:p>
        </w:tc>
      </w:tr>
      <w:tr w:rsidR="00526203" w:rsidTr="0052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Дальнейшие шаги: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 платформа позволит привлечь больше инвестиций в Бенин и использовать правительству получаемые статистические данные для выработки более эффективных мер политики (например, в области женского предпринимательства).</w:t>
            </w:r>
          </w:p>
        </w:tc>
      </w:tr>
      <w:tr w:rsidR="00526203" w:rsidTr="0052620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ЦУР: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(достойная работа и экономический рост)</w:t>
            </w:r>
          </w:p>
        </w:tc>
      </w:tr>
      <w:tr w:rsidR="00526203" w:rsidTr="0052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Ссылка:</w:t>
            </w:r>
          </w:p>
        </w:tc>
        <w:tc>
          <w:tcPr>
            <w:tcW w:w="8328" w:type="dxa"/>
            <w:tcBorders>
              <w:top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https://monentreprise.bj</w:t>
            </w:r>
          </w:p>
        </w:tc>
      </w:tr>
    </w:tbl>
    <w:p w:rsidR="00526203" w:rsidRDefault="00526203">
      <w:pPr>
        <w:spacing w:after="192" w:line="240" w:lineRule="auto"/>
        <w:rPr>
          <w:rFonts w:ascii="Times New Roman" w:hAnsi="Times New Roman" w:cs="Times New Roman"/>
          <w:sz w:val="28"/>
          <w:szCs w:val="28"/>
        </w:rPr>
      </w:pPr>
    </w:p>
    <w:p w:rsidR="00526203" w:rsidRDefault="00CE524F">
      <w:pPr>
        <w:pStyle w:val="1"/>
        <w:spacing w:before="0" w:after="192" w:line="240" w:lineRule="auto"/>
        <w:rPr>
          <w:rFonts w:ascii="Times New Roman" w:hAnsi="Times New Roman" w:cs="Times New Roman"/>
          <w:color w:val="000000" w:themeColor="text1"/>
        </w:rPr>
      </w:pPr>
      <w:bookmarkStart w:id="3" w:name="_Toc36482747"/>
      <w:r>
        <w:rPr>
          <w:rFonts w:ascii="Times New Roman" w:hAnsi="Times New Roman" w:cs="Times New Roman"/>
          <w:color w:val="000000" w:themeColor="text1"/>
        </w:rPr>
        <w:t>ЮНКТАД рас</w:t>
      </w:r>
      <w:r>
        <w:rPr>
          <w:rFonts w:ascii="Times New Roman" w:hAnsi="Times New Roman" w:cs="Times New Roman"/>
          <w:color w:val="000000" w:themeColor="text1"/>
          <w:lang w:val="en-US"/>
        </w:rPr>
        <w:t>c</w:t>
      </w:r>
      <w:r>
        <w:rPr>
          <w:rFonts w:ascii="Times New Roman" w:hAnsi="Times New Roman" w:cs="Times New Roman"/>
          <w:color w:val="000000" w:themeColor="text1"/>
        </w:rPr>
        <w:t xml:space="preserve">читал экономические последствия </w:t>
      </w:r>
      <w:r>
        <w:rPr>
          <w:rFonts w:ascii="Times New Roman" w:hAnsi="Times New Roman" w:cs="Times New Roman"/>
          <w:color w:val="000000" w:themeColor="text1"/>
          <w:lang w:val="en-US"/>
        </w:rPr>
        <w:t>COVID</w:t>
      </w:r>
      <w:r>
        <w:rPr>
          <w:rFonts w:ascii="Times New Roman" w:hAnsi="Times New Roman" w:cs="Times New Roman"/>
          <w:color w:val="000000" w:themeColor="text1"/>
        </w:rPr>
        <w:t>-19</w:t>
      </w:r>
      <w:bookmarkEnd w:id="3"/>
    </w:p>
    <w:tbl>
      <w:tblPr>
        <w:tblStyle w:val="-1"/>
        <w:tblW w:w="10421" w:type="dxa"/>
        <w:tblLook w:val="04A0" w:firstRow="1" w:lastRow="0" w:firstColumn="1" w:lastColumn="0" w:noHBand="0" w:noVBand="1"/>
      </w:tblPr>
      <w:tblGrid>
        <w:gridCol w:w="2092"/>
        <w:gridCol w:w="8329"/>
      </w:tblGrid>
      <w:tr w:rsidR="00526203" w:rsidTr="00526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Мероприятие:</w:t>
            </w:r>
          </w:p>
        </w:tc>
        <w:tc>
          <w:tcPr>
            <w:tcW w:w="8328" w:type="dxa"/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Публикации серии аналитических записок ЮНКТАД 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влиянии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-19 на мировую экономику</w:t>
            </w:r>
          </w:p>
          <w:p w:rsidR="00526203" w:rsidRDefault="00CE524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марта 2020 г.</w:t>
            </w:r>
          </w:p>
        </w:tc>
      </w:tr>
      <w:tr w:rsidR="00526203" w:rsidTr="0052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Суть вопроса: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Pr="00CB3A47" w:rsidRDefault="00CE524F">
            <w:pPr>
              <w:pStyle w:val="aff3"/>
              <w:shd w:val="clear" w:color="auto" w:fill="FFFFFF"/>
              <w:spacing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>ЮНКТАД отслеживает влияние глобальной пандемии на обрабатывающую промышленность, торговлю, прямые иностранные инвестиции и экономический рост.</w:t>
            </w:r>
          </w:p>
        </w:tc>
      </w:tr>
      <w:tr w:rsidR="00526203" w:rsidTr="00526203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Текущая ситуация: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>COVID-19 вызовет рецессию в ряде стран и снизит темпы роста мировой экономики в текущем году до уровня ниже 2,5%.</w:t>
            </w:r>
          </w:p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>Предварительный негативный сценарий предполагает сокращение совокупных доходов в размере 2 трлн долл. США. Наиболее сильно пострадают страны-экспортеры нефти и других сырьевых товаров.</w:t>
            </w:r>
          </w:p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 xml:space="preserve">Как оценивает ЮНКТАД, развивающимся странам, имеющим наиболее тесные финансовые связи с Китаем, будет сложнее всего восстанавливаться после экономических последствий </w:t>
            </w:r>
            <w:proofErr w:type="spellStart"/>
            <w:r w:rsidRPr="00CB3A47">
              <w:rPr>
                <w:color w:val="000000" w:themeColor="text1"/>
                <w:sz w:val="28"/>
                <w:szCs w:val="28"/>
              </w:rPr>
              <w:t>коронавируса</w:t>
            </w:r>
            <w:proofErr w:type="spellEnd"/>
            <w:r w:rsidRPr="00CB3A47">
              <w:rPr>
                <w:color w:val="000000" w:themeColor="text1"/>
                <w:sz w:val="28"/>
                <w:szCs w:val="28"/>
              </w:rPr>
              <w:t>. КНР является важнейшим источником долгосрочных заимствований для данной группы государств, и в связи с замедлением темпов экономического роста его условия кредитования будут ужесточаться.</w:t>
            </w:r>
          </w:p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 xml:space="preserve">Замедление темпов роста в диапазоне от 0,7% до 0,9%, согласно прогнозам ЮНКТАД, произойдет в Канаде, Мексике и </w:t>
            </w:r>
            <w:proofErr w:type="spellStart"/>
            <w:r w:rsidRPr="00CB3A47">
              <w:rPr>
                <w:color w:val="000000" w:themeColor="text1"/>
                <w:sz w:val="28"/>
                <w:szCs w:val="28"/>
              </w:rPr>
              <w:t>центральноамериканском</w:t>
            </w:r>
            <w:proofErr w:type="spellEnd"/>
            <w:r w:rsidRPr="00CB3A47">
              <w:rPr>
                <w:color w:val="000000" w:themeColor="text1"/>
                <w:sz w:val="28"/>
                <w:szCs w:val="28"/>
              </w:rPr>
              <w:t xml:space="preserve"> регионе, в Северной и Южной Америке; в странах, глубоко вовлеченных в глобальные цепочки создания стоимости в Восточной и Южной Азии, а также в ЕС.</w:t>
            </w:r>
          </w:p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 xml:space="preserve">Ущерб стран ЕС составит 15,6 млрд. долл. США, Соединенных Штатов 5,8 млрд. долл. США, Японии 5,2 млрд. долл. США, </w:t>
            </w:r>
            <w:r w:rsidRPr="00CB3A47">
              <w:rPr>
                <w:color w:val="000000" w:themeColor="text1"/>
                <w:sz w:val="28"/>
                <w:szCs w:val="28"/>
              </w:rPr>
              <w:lastRenderedPageBreak/>
              <w:t>Республики Корея 3,8 млрд. долл. США, Вьетнама 2,3 млрд. долл. США.</w:t>
            </w:r>
          </w:p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 xml:space="preserve">Вспышка </w:t>
            </w:r>
            <w:proofErr w:type="spellStart"/>
            <w:r w:rsidRPr="00CB3A47">
              <w:rPr>
                <w:color w:val="000000" w:themeColor="text1"/>
                <w:sz w:val="28"/>
                <w:szCs w:val="28"/>
              </w:rPr>
              <w:t>коронавируса</w:t>
            </w:r>
            <w:proofErr w:type="spellEnd"/>
            <w:r w:rsidRPr="00CB3A47">
              <w:rPr>
                <w:color w:val="000000" w:themeColor="text1"/>
                <w:sz w:val="28"/>
                <w:szCs w:val="28"/>
              </w:rPr>
              <w:t xml:space="preserve"> может привести к сокращению глобальных прямых иностранных инвестиций (ПИИ) на 5-15%. Больше всего пострадают автомобильная, авиационная и энергетическая отрасли. </w:t>
            </w:r>
          </w:p>
        </w:tc>
      </w:tr>
      <w:tr w:rsidR="00526203" w:rsidTr="0052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Дальнейшие шаги: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Pr="006B6BA7" w:rsidRDefault="00CE52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6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ожидает ЮНКТАД, в полной мере оценить воздействие COVID-19 будет возможно в ближайшие месяцы. По</w:t>
            </w:r>
            <w:r w:rsidRPr="006B6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B6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предварительным расчётам, возврат к средне- и долгосрочным тенденциям развития до конца года маловероятен.</w:t>
            </w:r>
          </w:p>
        </w:tc>
      </w:tr>
      <w:tr w:rsidR="00526203" w:rsidTr="0052620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ЦУР: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Pr="00453197" w:rsidRDefault="00CE524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(достойная работа и экономический рост)</w:t>
            </w:r>
          </w:p>
        </w:tc>
      </w:tr>
      <w:tr w:rsidR="00526203" w:rsidTr="0052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Ссылка:</w:t>
            </w:r>
          </w:p>
        </w:tc>
        <w:tc>
          <w:tcPr>
            <w:tcW w:w="8328" w:type="dxa"/>
            <w:tcBorders>
              <w:top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https://unctad.org/en/Pages/coronavirus.aspx</w:t>
            </w:r>
          </w:p>
        </w:tc>
      </w:tr>
    </w:tbl>
    <w:p w:rsidR="00526203" w:rsidRDefault="00526203">
      <w:pPr>
        <w:spacing w:after="192" w:line="240" w:lineRule="auto"/>
      </w:pPr>
    </w:p>
    <w:p w:rsidR="00526203" w:rsidRDefault="00CE524F">
      <w:pPr>
        <w:pStyle w:val="1"/>
        <w:spacing w:before="0" w:after="192" w:line="240" w:lineRule="auto"/>
        <w:rPr>
          <w:rFonts w:ascii="Times New Roman" w:hAnsi="Times New Roman" w:cs="Times New Roman"/>
          <w:color w:val="000000" w:themeColor="text1"/>
        </w:rPr>
      </w:pPr>
      <w:bookmarkStart w:id="4" w:name="_Toc36482748"/>
      <w:r>
        <w:rPr>
          <w:rFonts w:ascii="Times New Roman" w:hAnsi="Times New Roman" w:cs="Times New Roman"/>
          <w:color w:val="000000" w:themeColor="text1"/>
        </w:rPr>
        <w:t xml:space="preserve">Малое и среднее предпринимательство в условиях </w:t>
      </w:r>
      <w:r>
        <w:rPr>
          <w:rFonts w:ascii="Times New Roman" w:hAnsi="Times New Roman" w:cs="Times New Roman"/>
          <w:color w:val="000000" w:themeColor="text1"/>
          <w:lang w:val="en-US"/>
        </w:rPr>
        <w:t>COVID</w:t>
      </w:r>
      <w:r>
        <w:rPr>
          <w:rFonts w:ascii="Times New Roman" w:hAnsi="Times New Roman" w:cs="Times New Roman"/>
          <w:color w:val="000000" w:themeColor="text1"/>
        </w:rPr>
        <w:t>-19</w:t>
      </w:r>
      <w:bookmarkEnd w:id="4"/>
    </w:p>
    <w:tbl>
      <w:tblPr>
        <w:tblStyle w:val="-1"/>
        <w:tblW w:w="10421" w:type="dxa"/>
        <w:tblLook w:val="04A0" w:firstRow="1" w:lastRow="0" w:firstColumn="1" w:lastColumn="0" w:noHBand="0" w:noVBand="1"/>
      </w:tblPr>
      <w:tblGrid>
        <w:gridCol w:w="2092"/>
        <w:gridCol w:w="8329"/>
      </w:tblGrid>
      <w:tr w:rsidR="00526203" w:rsidTr="00526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Мероприятие:</w:t>
            </w:r>
          </w:p>
        </w:tc>
        <w:tc>
          <w:tcPr>
            <w:tcW w:w="8328" w:type="dxa"/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Публикация статьи специалистов МТЦ о влиянии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-19 на малое и среднее предпринимательство</w:t>
            </w:r>
          </w:p>
        </w:tc>
      </w:tr>
      <w:tr w:rsidR="00526203" w:rsidTr="0052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Суть вопроса: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pStyle w:val="aff3"/>
              <w:shd w:val="clear" w:color="auto" w:fill="FFFFFF"/>
              <w:spacing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color w:val="1481AB"/>
                <w:sz w:val="28"/>
                <w:szCs w:val="28"/>
                <w:lang w:val="en-US"/>
              </w:rPr>
              <w:t> </w:t>
            </w:r>
            <w:r w:rsidRPr="006B6BA7">
              <w:rPr>
                <w:color w:val="000000" w:themeColor="text1"/>
                <w:sz w:val="28"/>
                <w:szCs w:val="28"/>
              </w:rPr>
              <w:t xml:space="preserve">В условиях вспышки </w:t>
            </w:r>
            <w:r w:rsidRPr="006B6BA7">
              <w:rPr>
                <w:color w:val="000000" w:themeColor="text1"/>
                <w:sz w:val="28"/>
                <w:szCs w:val="28"/>
                <w:lang w:val="en-US"/>
              </w:rPr>
              <w:t>COVID</w:t>
            </w:r>
            <w:r w:rsidRPr="006B6BA7">
              <w:rPr>
                <w:color w:val="000000" w:themeColor="text1"/>
                <w:sz w:val="28"/>
                <w:szCs w:val="28"/>
              </w:rPr>
              <w:t>-19 МТЦ начал работу по предоставлению информации и рекомендаций для микро-, малых и средних предприятий (ММСП). Информационные ресурсы МТЦ могут быть также полезны для организаций и директивных органов, оказывающих поддержку ММСП.</w:t>
            </w:r>
          </w:p>
        </w:tc>
      </w:tr>
      <w:tr w:rsidR="00526203" w:rsidTr="00526203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Pr="00CB3A47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Текущая ситуация: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 xml:space="preserve">По данным МТЦ, ММСП широко представлены в секторах, напрямую подверженных ограничительным мерам в связи распространением пандемии </w:t>
            </w:r>
            <w:proofErr w:type="spellStart"/>
            <w:r w:rsidRPr="00CB3A47">
              <w:rPr>
                <w:color w:val="000000" w:themeColor="text1"/>
                <w:sz w:val="28"/>
                <w:szCs w:val="28"/>
              </w:rPr>
              <w:t>коронавируса</w:t>
            </w:r>
            <w:proofErr w:type="spellEnd"/>
            <w:r w:rsidRPr="00CB3A47">
              <w:rPr>
                <w:color w:val="000000" w:themeColor="text1"/>
                <w:sz w:val="28"/>
                <w:szCs w:val="28"/>
              </w:rPr>
              <w:t xml:space="preserve"> – в сфере гостиничных услуг и питания, оптовой и розничной торговле, а также в секторе туризма. По прогнозным оценкам, падение рынка туристических услуг составит 13,5% по итогам 2020 года. При этом, как показывают исследования МТЦ, на ММСП приходится около 90% предприятий данного сектора (в странах, вошедших в исследование).</w:t>
            </w:r>
          </w:p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 xml:space="preserve">Автомобильный, швейный и обувной, а также компьютерный и электронный секторы наиболее подвержены косвенному воздействию мер, принимаемых странами в связи </w:t>
            </w:r>
            <w:r w:rsidRPr="00CB3A47">
              <w:rPr>
                <w:color w:val="000000" w:themeColor="text1"/>
                <w:sz w:val="28"/>
                <w:szCs w:val="28"/>
                <w:lang w:val="en-US"/>
              </w:rPr>
              <w:t>COVID</w:t>
            </w:r>
            <w:r w:rsidRPr="00CB3A47">
              <w:rPr>
                <w:color w:val="000000" w:themeColor="text1"/>
                <w:sz w:val="28"/>
                <w:szCs w:val="28"/>
              </w:rPr>
              <w:t>-19. Так, автомобильная промышленность пострадает в результате сбоев в функционировании глобальных производственно-сбытовых цепочек, так и от шока спроса в Китае. В феврале 2020 года продажи легковых автомобилей в Китае снизились с 1,5 млн. до 315 тыс. автомобилей, мотоциклов – с 923 тыс. до 462 тыс. В целом совокупные продажи легковых автомобилей и мотоциклов в Китае упали на 69% по сравнению с февралем 2019 года.</w:t>
            </w:r>
          </w:p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lastRenderedPageBreak/>
              <w:t>Как ожидают эксперты МТЦ, продажи потребительских товаров могут частично восстановиться после отмены сдерживающих мер, но сфера услуг не сможет возместить свои потери.</w:t>
            </w:r>
          </w:p>
        </w:tc>
      </w:tr>
      <w:tr w:rsidR="00526203" w:rsidTr="0052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Дальнейшие шаги: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Необходимые сроки и политические меры поддержки ММСП будут во многом зависеть от того, пострадает ли предпринимательство от национальных предупредительных мер или от нарушения производственно-сбытовых цепочек.</w:t>
            </w:r>
          </w:p>
        </w:tc>
      </w:tr>
      <w:tr w:rsidR="00526203" w:rsidTr="0052620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ЦУР: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(достойная работа и экономический рост)</w:t>
            </w:r>
          </w:p>
        </w:tc>
      </w:tr>
      <w:tr w:rsidR="00526203" w:rsidTr="0052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Ссылка:</w:t>
            </w:r>
          </w:p>
        </w:tc>
        <w:tc>
          <w:tcPr>
            <w:tcW w:w="8328" w:type="dxa"/>
            <w:tcBorders>
              <w:top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http://www.intracen.org/covid19/blogs/different-sectors-different-effect/</w:t>
            </w:r>
          </w:p>
        </w:tc>
      </w:tr>
    </w:tbl>
    <w:p w:rsidR="00526203" w:rsidRDefault="00526203">
      <w:pPr>
        <w:pStyle w:val="1"/>
        <w:spacing w:before="0" w:after="192" w:line="240" w:lineRule="auto"/>
        <w:rPr>
          <w:rFonts w:ascii="Times New Roman" w:hAnsi="Times New Roman" w:cs="Times New Roman"/>
          <w:color w:val="000000" w:themeColor="text1"/>
        </w:rPr>
      </w:pPr>
    </w:p>
    <w:p w:rsidR="00526203" w:rsidRDefault="00CE524F">
      <w:pPr>
        <w:pStyle w:val="1"/>
        <w:spacing w:before="0" w:after="192" w:line="240" w:lineRule="auto"/>
        <w:rPr>
          <w:rFonts w:ascii="Times New Roman" w:hAnsi="Times New Roman" w:cs="Times New Roman"/>
          <w:color w:val="000000" w:themeColor="text1"/>
        </w:rPr>
      </w:pPr>
      <w:bookmarkStart w:id="5" w:name="_Toc36482749"/>
      <w:r>
        <w:rPr>
          <w:rFonts w:ascii="Times New Roman" w:hAnsi="Times New Roman" w:cs="Times New Roman"/>
          <w:color w:val="000000" w:themeColor="text1"/>
        </w:rPr>
        <w:t>Ситуация в области гендерного равенства</w:t>
      </w:r>
      <w:bookmarkEnd w:id="5"/>
    </w:p>
    <w:tbl>
      <w:tblPr>
        <w:tblStyle w:val="-1"/>
        <w:tblW w:w="10421" w:type="dxa"/>
        <w:tblLook w:val="04A0" w:firstRow="1" w:lastRow="0" w:firstColumn="1" w:lastColumn="0" w:noHBand="0" w:noVBand="1"/>
      </w:tblPr>
      <w:tblGrid>
        <w:gridCol w:w="2092"/>
        <w:gridCol w:w="8329"/>
      </w:tblGrid>
      <w:tr w:rsidR="00526203" w:rsidTr="00526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Мероприятие:</w:t>
            </w:r>
          </w:p>
        </w:tc>
        <w:tc>
          <w:tcPr>
            <w:tcW w:w="8328" w:type="dxa"/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Публикация Индекса гендерного равенства (ИГР) Программы развития ООН (ПРООН)</w:t>
            </w:r>
          </w:p>
          <w:p w:rsidR="00526203" w:rsidRDefault="00CE524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марта 2020 г.</w:t>
            </w:r>
          </w:p>
        </w:tc>
      </w:tr>
      <w:tr w:rsidR="00526203" w:rsidTr="0052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Суть вопроса: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>ИГР опубликован в исследовании ПРООН «Борьба с социальными нормами: изменение правил игры для гендерного неравенства». Индекс включает сведения по 75 странам и охватывает более 80% населения мира. ИГР показывает, как социальные убеждения препятствуют гендерному равенству в четырех измерениях: политика, образование, экономика/работа и физическая неприкосновенность.</w:t>
            </w:r>
          </w:p>
        </w:tc>
      </w:tr>
      <w:tr w:rsidR="00526203" w:rsidTr="00526203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Текущая ситуация: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 xml:space="preserve">Несмотря на десятилетия прогресса в сокращении разрыва в гендерном равенстве, по итогам проведенного анализа ПРООН выявила своего рода повсеместную предвзятость в отношении женщин (как со стороны мужчин – 91%, так и женщин – 86%). Например, примерно половина населения считает, что из мужчин получаются лучшие политические лидеры, и 40% – что из мужчин получаются лучшие руководители предприятий и что мужчины имеют больше прав на работу, когда рабочих мест мало. 28% полагают оправданным, что мужчина избивает свою жену. </w:t>
            </w:r>
          </w:p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>Все это находит свое отражение в том, что только 24% мест в парламентах во всем мире занимают женщины, и женщины возглавляют только 10 из 193 государств-членов ООН. Женщинам на рынке труда платят меньше, чем мужчинам, и они гораздо реже занимают руководящие должности. Например, менее 6% генеральных директоров в компаниях S&amp;P 500 составляют женщины.</w:t>
            </w:r>
          </w:p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 xml:space="preserve">По мнению специалистов ПРООН, разнонаправленные тенденции отношения к женщинам свидетельствует о том, что улучшения в этой области нельзя считать само собой разумеющимся. </w:t>
            </w:r>
            <w:r w:rsidRPr="00CB3A47">
              <w:rPr>
                <w:color w:val="000000" w:themeColor="text1"/>
                <w:sz w:val="28"/>
                <w:szCs w:val="28"/>
              </w:rPr>
              <w:lastRenderedPageBreak/>
              <w:t>Наибольший прогресс в увеличении доли мужчин, не имеющих предубеждений в отношении гендерных социальных норм, был достигнут в Чили, Австралии, США и Нидерландах.</w:t>
            </w:r>
          </w:p>
        </w:tc>
      </w:tr>
      <w:tr w:rsidR="00526203" w:rsidTr="0052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Дальнейшие шаги: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ПРООН призывает правительства и учреждения использовать новое поколение стратегий для изменения дискриминационных убеждений и практик посредством образования, повышения осведомленности и принятия стимулирующих мер. Например, путем использования налогов для стимулирования справедливого распределения обязанностей по уходу за детьми или путем поощрения женщин и девочек к участию в традиционно мужских секторах, таких как вооруженные силы и информационные технологии.</w:t>
            </w:r>
          </w:p>
        </w:tc>
      </w:tr>
      <w:tr w:rsidR="00526203" w:rsidTr="0052620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ЦУР: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(качественное образование), 5 (гендерное равенство), 8 (достойная работа и экономический рост), 10 (уменьшение неравенства)</w:t>
            </w:r>
          </w:p>
        </w:tc>
      </w:tr>
      <w:tr w:rsidR="00526203" w:rsidTr="0052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Ссылка:</w:t>
            </w:r>
          </w:p>
        </w:tc>
        <w:tc>
          <w:tcPr>
            <w:tcW w:w="8328" w:type="dxa"/>
            <w:tcBorders>
              <w:top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http://hdr.undp.org/en/gsni</w:t>
            </w:r>
          </w:p>
        </w:tc>
      </w:tr>
    </w:tbl>
    <w:p w:rsidR="00526203" w:rsidRDefault="00526203">
      <w:pPr>
        <w:tabs>
          <w:tab w:val="left" w:pos="934"/>
        </w:tabs>
        <w:spacing w:after="192" w:line="240" w:lineRule="auto"/>
        <w:rPr>
          <w:rFonts w:ascii="Times New Roman" w:hAnsi="Times New Roman" w:cs="Times New Roman"/>
          <w:sz w:val="28"/>
          <w:szCs w:val="28"/>
        </w:rPr>
      </w:pPr>
    </w:p>
    <w:p w:rsidR="00526203" w:rsidRDefault="00CE524F">
      <w:pPr>
        <w:pStyle w:val="1"/>
        <w:spacing w:before="0" w:after="192" w:line="240" w:lineRule="auto"/>
        <w:rPr>
          <w:rFonts w:ascii="Times New Roman" w:hAnsi="Times New Roman" w:cs="Times New Roman"/>
          <w:color w:val="000000" w:themeColor="text1"/>
        </w:rPr>
      </w:pPr>
      <w:bookmarkStart w:id="6" w:name="_Toc36482750"/>
      <w:r>
        <w:rPr>
          <w:rFonts w:ascii="Times New Roman" w:hAnsi="Times New Roman" w:cs="Times New Roman"/>
          <w:color w:val="000000" w:themeColor="text1"/>
        </w:rPr>
        <w:t>Расширение прав и возможностей женщин</w:t>
      </w:r>
      <w:bookmarkEnd w:id="6"/>
    </w:p>
    <w:tbl>
      <w:tblPr>
        <w:tblStyle w:val="-1"/>
        <w:tblW w:w="13608" w:type="dxa"/>
        <w:tblLayout w:type="fixed"/>
        <w:tblLook w:val="04A0" w:firstRow="1" w:lastRow="0" w:firstColumn="1" w:lastColumn="0" w:noHBand="0" w:noVBand="1"/>
      </w:tblPr>
      <w:tblGrid>
        <w:gridCol w:w="2047"/>
        <w:gridCol w:w="11561"/>
      </w:tblGrid>
      <w:tr w:rsidR="00526203" w:rsidTr="006B6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Мероприятие:</w:t>
            </w:r>
          </w:p>
        </w:tc>
        <w:tc>
          <w:tcPr>
            <w:tcW w:w="11561" w:type="dxa"/>
            <w:shd w:val="clear" w:color="auto" w:fill="FFFFFF" w:themeFill="background1"/>
          </w:tcPr>
          <w:p w:rsidR="00526203" w:rsidRDefault="00CE524F" w:rsidP="006B6BA7">
            <w:pPr>
              <w:spacing w:after="0" w:line="240" w:lineRule="auto"/>
              <w:ind w:right="321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Принятие политической декларации в области гендерного равенства, расширения прав и возможностей женщин в ходе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64-й сессии Комиссии ООН по положению женщин</w:t>
            </w:r>
          </w:p>
          <w:p w:rsidR="00526203" w:rsidRDefault="00CE524F" w:rsidP="006B6BA7">
            <w:pPr>
              <w:spacing w:after="0" w:line="240" w:lineRule="auto"/>
              <w:ind w:right="321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марта 2020 г., Нью-Йорк</w:t>
            </w:r>
          </w:p>
        </w:tc>
      </w:tr>
      <w:tr w:rsidR="00526203" w:rsidTr="006B6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Суть вопроса:</w:t>
            </w:r>
          </w:p>
        </w:tc>
        <w:tc>
          <w:tcPr>
            <w:tcW w:w="115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 w:rsidP="006B6BA7">
            <w:pPr>
              <w:pStyle w:val="aff3"/>
              <w:shd w:val="clear" w:color="auto" w:fill="FFFFFF"/>
              <w:spacing w:beforeAutospacing="0" w:after="0" w:afterAutospacing="0"/>
              <w:ind w:right="32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>В декларации подчеркивается важность гендерного равенства для достижения прогресса по всем 17 ЦУР.</w:t>
            </w:r>
          </w:p>
        </w:tc>
      </w:tr>
      <w:tr w:rsidR="00526203" w:rsidTr="006B6BA7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Текущая ситуация:</w:t>
            </w:r>
          </w:p>
        </w:tc>
        <w:tc>
          <w:tcPr>
            <w:tcW w:w="115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Pr="006B6BA7" w:rsidRDefault="00CE524F" w:rsidP="006B6BA7">
            <w:pPr>
              <w:pStyle w:val="aff3"/>
              <w:shd w:val="clear" w:color="auto" w:fill="FFFFFF"/>
              <w:spacing w:after="0" w:afterAutospacing="0"/>
              <w:ind w:right="32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6B6BA7">
              <w:rPr>
                <w:color w:val="000000" w:themeColor="text1"/>
                <w:sz w:val="28"/>
                <w:szCs w:val="28"/>
              </w:rPr>
              <w:t>Обсуждение декларации началось с всеобъемлющего доклада Генерального секретаря ООН (</w:t>
            </w:r>
            <w:hyperlink r:id="rId7">
              <w:r w:rsidRPr="006B6BA7">
                <w:rPr>
                  <w:rStyle w:val="-"/>
                  <w:color w:val="000000" w:themeColor="text1"/>
                  <w:sz w:val="28"/>
                  <w:szCs w:val="28"/>
                </w:rPr>
                <w:t>https://undocs.org/ru/E/CN.6/2020/3</w:t>
              </w:r>
            </w:hyperlink>
            <w:r w:rsidRPr="006B6BA7">
              <w:rPr>
                <w:color w:val="000000" w:themeColor="text1"/>
                <w:sz w:val="28"/>
                <w:szCs w:val="28"/>
              </w:rPr>
              <w:t>), содержащего обзор и оценку хода осуществления Пекинской декларации и Платформы действий.</w:t>
            </w:r>
          </w:p>
          <w:p w:rsidR="00526203" w:rsidRPr="006B6BA7" w:rsidRDefault="00CE524F" w:rsidP="006B6BA7">
            <w:pPr>
              <w:pStyle w:val="aff3"/>
              <w:shd w:val="clear" w:color="auto" w:fill="FFFFFF"/>
              <w:spacing w:after="0" w:afterAutospacing="0"/>
              <w:ind w:right="32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6B6BA7">
              <w:rPr>
                <w:color w:val="000000" w:themeColor="text1"/>
                <w:sz w:val="28"/>
                <w:szCs w:val="28"/>
              </w:rPr>
              <w:t xml:space="preserve">Как заявил в своем выступлении Председатель Генеральной Ассамблеи ООН </w:t>
            </w:r>
            <w:proofErr w:type="spellStart"/>
            <w:r w:rsidRPr="006B6BA7">
              <w:rPr>
                <w:color w:val="000000" w:themeColor="text1"/>
                <w:sz w:val="28"/>
                <w:szCs w:val="28"/>
              </w:rPr>
              <w:t>Тиджани</w:t>
            </w:r>
            <w:proofErr w:type="spellEnd"/>
            <w:r w:rsidRPr="006B6BA7">
              <w:rPr>
                <w:color w:val="000000" w:themeColor="text1"/>
                <w:sz w:val="28"/>
                <w:szCs w:val="28"/>
              </w:rPr>
              <w:t xml:space="preserve"> Мухаммад-Банде, женщины берут на себя в три раза больше неоплачиваемой работы, чем мужчины; большинство рабочих мест, которые будут автоматизированы в будущем, в настоящее время занимают женщины; только 16 из 192 ораторов в общих прениях ГА ООН в 2019 году были женщинами.</w:t>
            </w:r>
          </w:p>
          <w:p w:rsidR="00526203" w:rsidRPr="006B6BA7" w:rsidRDefault="00CE524F" w:rsidP="006B6BA7">
            <w:pPr>
              <w:pStyle w:val="aff3"/>
              <w:shd w:val="clear" w:color="auto" w:fill="FFFFFF"/>
              <w:spacing w:after="0" w:afterAutospacing="0"/>
              <w:ind w:right="32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6B6BA7">
              <w:rPr>
                <w:color w:val="000000" w:themeColor="text1"/>
                <w:sz w:val="28"/>
                <w:szCs w:val="28"/>
              </w:rPr>
              <w:t xml:space="preserve">В декларации приводится оценка положения женщин и проблем, связанных с обеспечением гендерного равенства, расширением прав и возможностей женщин. Признаются новые вызовы наряду с ранее существующими, в том числе право на образование в области науки, техники, инженерии и математики; лидерство женщин на всех уровнях общества; равная оплата труда, решение проблемы неоплачиваемой домашней работы; непропорциональное воздействие изменения климата и стихийных бедствий на женщин и девочек; насилие в отношении женщин и девочек, защита в </w:t>
            </w:r>
            <w:r w:rsidRPr="006B6BA7">
              <w:rPr>
                <w:color w:val="000000" w:themeColor="text1"/>
                <w:sz w:val="28"/>
                <w:szCs w:val="28"/>
              </w:rPr>
              <w:lastRenderedPageBreak/>
              <w:t>вооруженных конфликтах, право на здоровье и борьба с голодом и недоеданием.</w:t>
            </w:r>
          </w:p>
          <w:p w:rsidR="00526203" w:rsidRPr="006B6BA7" w:rsidRDefault="00CE524F" w:rsidP="006B6BA7">
            <w:pPr>
              <w:pStyle w:val="aff3"/>
              <w:shd w:val="clear" w:color="auto" w:fill="FFFFFF"/>
              <w:spacing w:after="0" w:afterAutospacing="0"/>
              <w:ind w:right="32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6B6BA7">
              <w:rPr>
                <w:color w:val="000000" w:themeColor="text1"/>
                <w:sz w:val="28"/>
                <w:szCs w:val="28"/>
              </w:rPr>
              <w:t>В качестве мер по устранению данных проблем в декларации предлагаются устранение дискриминационных законов, обеспечение адекватного финансирования существующих обязательств, разрушение стереотипов в средствах массовой информации и использование гендерной статистики.</w:t>
            </w:r>
          </w:p>
        </w:tc>
      </w:tr>
      <w:tr w:rsidR="00526203" w:rsidTr="006B6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Дальнейшие шаги:</w:t>
            </w:r>
          </w:p>
        </w:tc>
        <w:tc>
          <w:tcPr>
            <w:tcW w:w="115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 w:rsidP="006B6BA7">
            <w:pPr>
              <w:spacing w:after="0" w:line="240" w:lineRule="auto"/>
              <w:ind w:right="32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Декларация будет представлена 23 сентября 2020 г. в ходе заседания высокого уровня ГА ООН в ознаменование 4-й Всемирной конференции по положению женщин.</w:t>
            </w:r>
          </w:p>
        </w:tc>
      </w:tr>
      <w:tr w:rsidR="00526203" w:rsidTr="006B6BA7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ЦУР:</w:t>
            </w:r>
          </w:p>
        </w:tc>
        <w:tc>
          <w:tcPr>
            <w:tcW w:w="115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 w:rsidP="006B6BA7">
            <w:pPr>
              <w:spacing w:after="0" w:line="240" w:lineRule="auto"/>
              <w:ind w:right="32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(гендерное равенство)</w:t>
            </w:r>
          </w:p>
        </w:tc>
      </w:tr>
      <w:tr w:rsidR="00526203" w:rsidTr="006B6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Ссылка:</w:t>
            </w:r>
          </w:p>
        </w:tc>
        <w:tc>
          <w:tcPr>
            <w:tcW w:w="11561" w:type="dxa"/>
            <w:tcBorders>
              <w:top w:val="nil"/>
            </w:tcBorders>
            <w:shd w:val="clear" w:color="auto" w:fill="FFFFFF" w:themeFill="background1"/>
          </w:tcPr>
          <w:p w:rsidR="00526203" w:rsidRDefault="00CE524F" w:rsidP="006B6BA7">
            <w:pPr>
              <w:spacing w:after="0" w:line="240" w:lineRule="auto"/>
              <w:ind w:right="32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https://www.unwomen.org/-/media/headquarters/attachments/sections/news%20and%20events/stories/2020/csw64-politicaldeclaration.pdf?la=en&amp;vs=1220</w:t>
            </w:r>
          </w:p>
          <w:p w:rsidR="00526203" w:rsidRDefault="00CE524F" w:rsidP="006B6BA7">
            <w:pPr>
              <w:spacing w:after="0" w:line="240" w:lineRule="auto"/>
              <w:ind w:right="32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https://www.un.org/press/en/2020/wom2204.doc.htm</w:t>
            </w:r>
          </w:p>
        </w:tc>
      </w:tr>
    </w:tbl>
    <w:p w:rsidR="00526203" w:rsidRDefault="00526203">
      <w:pPr>
        <w:pStyle w:val="1"/>
        <w:spacing w:before="0" w:after="192" w:line="240" w:lineRule="auto"/>
        <w:rPr>
          <w:rFonts w:ascii="Times New Roman" w:hAnsi="Times New Roman" w:cs="Times New Roman"/>
          <w:color w:val="000000" w:themeColor="text1"/>
        </w:rPr>
      </w:pPr>
    </w:p>
    <w:p w:rsidR="00526203" w:rsidRDefault="00CE524F">
      <w:pPr>
        <w:pStyle w:val="1"/>
        <w:spacing w:before="0" w:after="192" w:line="240" w:lineRule="auto"/>
        <w:rPr>
          <w:rFonts w:ascii="Times New Roman" w:hAnsi="Times New Roman" w:cs="Times New Roman"/>
          <w:color w:val="000000" w:themeColor="text1"/>
        </w:rPr>
      </w:pPr>
      <w:bookmarkStart w:id="7" w:name="_Toc36482751"/>
      <w:r>
        <w:rPr>
          <w:rFonts w:ascii="Times New Roman" w:hAnsi="Times New Roman" w:cs="Times New Roman"/>
          <w:color w:val="000000" w:themeColor="text1"/>
        </w:rPr>
        <w:t>Работа после презентации добровольных национальных обзоров</w:t>
      </w:r>
      <w:bookmarkEnd w:id="7"/>
    </w:p>
    <w:tbl>
      <w:tblPr>
        <w:tblStyle w:val="-1"/>
        <w:tblW w:w="10421" w:type="dxa"/>
        <w:tblLook w:val="04A0" w:firstRow="1" w:lastRow="0" w:firstColumn="1" w:lastColumn="0" w:noHBand="0" w:noVBand="1"/>
      </w:tblPr>
      <w:tblGrid>
        <w:gridCol w:w="2092"/>
        <w:gridCol w:w="8329"/>
      </w:tblGrid>
      <w:tr w:rsidR="00526203" w:rsidTr="00526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Мероприятие:</w:t>
            </w:r>
          </w:p>
        </w:tc>
        <w:tc>
          <w:tcPr>
            <w:tcW w:w="8328" w:type="dxa"/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Онлайн круглый стол по передовой практике реализации Повестки-2030 после презентации добровольных национальных обзоров достижения ЦУР (ДНО). Организаторы: ПРООН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TAP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Network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(международная коалиция в области ЦУР 16).</w:t>
            </w:r>
          </w:p>
          <w:p w:rsidR="00526203" w:rsidRDefault="00CE524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марта 2020 г.</w:t>
            </w:r>
          </w:p>
        </w:tc>
      </w:tr>
      <w:tr w:rsidR="00526203" w:rsidTr="0052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Суть вопроса: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pStyle w:val="aff3"/>
              <w:shd w:val="clear" w:color="auto" w:fill="FFFFFF"/>
              <w:spacing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481AB"/>
              </w:rPr>
            </w:pPr>
            <w:r w:rsidRPr="006B6BA7">
              <w:rPr>
                <w:color w:val="000000" w:themeColor="text1"/>
                <w:sz w:val="28"/>
                <w:szCs w:val="28"/>
              </w:rPr>
              <w:t>С 2016 года было представлено 158 обзоров 142 странами. В</w:t>
            </w:r>
            <w:r w:rsidRPr="006B6BA7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B6BA7">
              <w:rPr>
                <w:color w:val="000000" w:themeColor="text1"/>
                <w:sz w:val="28"/>
                <w:szCs w:val="28"/>
              </w:rPr>
              <w:t>2020</w:t>
            </w:r>
            <w:r w:rsidRPr="006B6BA7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B6BA7">
              <w:rPr>
                <w:color w:val="000000" w:themeColor="text1"/>
                <w:sz w:val="28"/>
                <w:szCs w:val="28"/>
              </w:rPr>
              <w:t>году 51 страна планирует провести презентацию ДНО. Участники настоятельно призвали использовать обзоры в качестве инструмента определения дальнейших действий, а не как конечный продукт.</w:t>
            </w:r>
          </w:p>
        </w:tc>
      </w:tr>
      <w:tr w:rsidR="00526203" w:rsidTr="00526203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Текущая ситуация: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>Эксперты и официальные представители стран обменялись практиками, применяемыми после завершения подготовки и презентации добровольных обзоров.</w:t>
            </w:r>
          </w:p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 xml:space="preserve">Германия учредила ежегодный форум по вопросам устойчивого развития в качестве диалоговой площадки с участием заинтересованных сторон (курируется Ведомством федерального канцлера). Мексика привлекла Министерство финансов к процессу планирования бюджетных статей и программ, соответствующих показателям ЦУР. Грузия внедрила архитектуру ЦУР, включающую Многосторонний совет по ЦУР, тематические рабочие группы и ежегодный форум по обмену опытом и обсуждения вопросов, связанных с реализацией ЦУР. Монголия провела системный анализ факторов, узких мест и последствий и </w:t>
            </w:r>
            <w:r w:rsidRPr="00CB3A47">
              <w:rPr>
                <w:color w:val="000000" w:themeColor="text1"/>
                <w:sz w:val="28"/>
                <w:szCs w:val="28"/>
              </w:rPr>
              <w:lastRenderedPageBreak/>
              <w:t>разработала краткосрочные и долгосрочные меры по борьбе с загрязнением воздуха.</w:t>
            </w:r>
          </w:p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>Управление национальной статистики Великобритании с 2019 года работает над обеспечением доступности данных по ЦУР для государственных органов и других заинтересованных сторон. Для этого совместно с правительством США разработана платформа национальной отчетности по ЦУР (</w:t>
            </w:r>
            <w:proofErr w:type="spellStart"/>
            <w:r w:rsidRPr="00CB3A47">
              <w:rPr>
                <w:color w:val="000000" w:themeColor="text1"/>
                <w:sz w:val="28"/>
                <w:szCs w:val="28"/>
              </w:rPr>
              <w:t>Open</w:t>
            </w:r>
            <w:proofErr w:type="spellEnd"/>
            <w:r w:rsidRPr="00CB3A47">
              <w:rPr>
                <w:color w:val="000000" w:themeColor="text1"/>
                <w:sz w:val="28"/>
                <w:szCs w:val="28"/>
              </w:rPr>
              <w:t xml:space="preserve"> SDG </w:t>
            </w:r>
            <w:proofErr w:type="spellStart"/>
            <w:r w:rsidRPr="00CB3A47">
              <w:rPr>
                <w:color w:val="000000" w:themeColor="text1"/>
                <w:sz w:val="28"/>
                <w:szCs w:val="28"/>
              </w:rPr>
              <w:t>National</w:t>
            </w:r>
            <w:proofErr w:type="spellEnd"/>
            <w:r w:rsidRPr="00CB3A4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B3A47">
              <w:rPr>
                <w:color w:val="000000" w:themeColor="text1"/>
                <w:sz w:val="28"/>
                <w:szCs w:val="28"/>
              </w:rPr>
              <w:t>Reporting</w:t>
            </w:r>
            <w:proofErr w:type="spellEnd"/>
            <w:r w:rsidRPr="00CB3A4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B3A47">
              <w:rPr>
                <w:color w:val="000000" w:themeColor="text1"/>
                <w:sz w:val="28"/>
                <w:szCs w:val="28"/>
              </w:rPr>
              <w:t>Platform</w:t>
            </w:r>
            <w:proofErr w:type="spellEnd"/>
            <w:r w:rsidRPr="00CB3A47">
              <w:rPr>
                <w:color w:val="000000" w:themeColor="text1"/>
                <w:sz w:val="28"/>
                <w:szCs w:val="28"/>
              </w:rPr>
              <w:t>), представляющая собой открытый ресурс для сбора отчетности и мониторинга ЦУР. Великобритания оказывает техническую поддержку национальным статистическим ведомствам других стран в создании их собственных платформ для сбора данных по ЦУР. На сегодняшний день 13 стран воспроизвели подобную платформу или работают над этим.</w:t>
            </w:r>
          </w:p>
        </w:tc>
      </w:tr>
      <w:tr w:rsidR="00526203" w:rsidTr="0052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Дальнейшие шаги: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CB3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CB3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середине 2020 года ожидается запуск совместной инициативы ПРООН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TAP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Network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созданию ресурса, который будет содержать передовую практику, информацию о проблемах и возможностях для стран, презентовавших национальные обзоры.</w:t>
            </w:r>
          </w:p>
        </w:tc>
      </w:tr>
      <w:tr w:rsidR="00526203" w:rsidTr="0052620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ЦУР: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(мир, правосудие и эффективные институты)</w:t>
            </w:r>
          </w:p>
        </w:tc>
      </w:tr>
      <w:tr w:rsidR="00526203" w:rsidTr="0052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Ссылка:</w:t>
            </w:r>
          </w:p>
        </w:tc>
        <w:tc>
          <w:tcPr>
            <w:tcW w:w="8328" w:type="dxa"/>
            <w:tcBorders>
              <w:top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https://www.sdg16hub.org/content/strengthening-post-vnr-best-practices-sdg-16-initiative</w:t>
            </w:r>
          </w:p>
        </w:tc>
      </w:tr>
    </w:tbl>
    <w:p w:rsidR="00526203" w:rsidRDefault="00526203">
      <w:pPr>
        <w:spacing w:after="192" w:line="240" w:lineRule="auto"/>
      </w:pPr>
    </w:p>
    <w:p w:rsidR="00526203" w:rsidRDefault="00CE524F">
      <w:pPr>
        <w:pStyle w:val="1"/>
        <w:spacing w:before="0" w:after="192" w:line="240" w:lineRule="auto"/>
        <w:rPr>
          <w:rFonts w:ascii="Times New Roman" w:hAnsi="Times New Roman" w:cs="Times New Roman"/>
          <w:color w:val="000000" w:themeColor="text1"/>
        </w:rPr>
      </w:pPr>
      <w:bookmarkStart w:id="8" w:name="_Toc36482752"/>
      <w:r>
        <w:rPr>
          <w:rFonts w:ascii="Times New Roman" w:hAnsi="Times New Roman" w:cs="Times New Roman"/>
          <w:color w:val="000000" w:themeColor="text1"/>
        </w:rPr>
        <w:t>Прогресс в достижении ЦУР в Азиатско-Тихоокеанском регионе</w:t>
      </w:r>
      <w:bookmarkEnd w:id="8"/>
    </w:p>
    <w:tbl>
      <w:tblPr>
        <w:tblStyle w:val="-1"/>
        <w:tblW w:w="25903" w:type="dxa"/>
        <w:tblLook w:val="04A0" w:firstRow="1" w:lastRow="0" w:firstColumn="1" w:lastColumn="0" w:noHBand="0" w:noVBand="1"/>
      </w:tblPr>
      <w:tblGrid>
        <w:gridCol w:w="2047"/>
        <w:gridCol w:w="8159"/>
        <w:gridCol w:w="10065"/>
        <w:gridCol w:w="5632"/>
      </w:tblGrid>
      <w:tr w:rsidR="00526203" w:rsidTr="00453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Мероприятие:</w:t>
            </w:r>
          </w:p>
        </w:tc>
        <w:tc>
          <w:tcPr>
            <w:tcW w:w="23856" w:type="dxa"/>
            <w:gridSpan w:val="3"/>
            <w:shd w:val="clear" w:color="auto" w:fill="FFFFFF" w:themeFill="background1"/>
          </w:tcPr>
          <w:p w:rsidR="00453197" w:rsidRDefault="00CE524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Публикация доклада Экономической и социальной комиссии</w:t>
            </w:r>
          </w:p>
          <w:p w:rsidR="00453197" w:rsidRDefault="00CE524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Азии и Тихого океана (ЭСКАТО) «О прогрессе в </w:t>
            </w:r>
          </w:p>
          <w:p w:rsidR="00526203" w:rsidRDefault="00CE524F" w:rsidP="00453197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достижении ЦУР в АТР, 2020 г.»</w:t>
            </w:r>
            <w:r w:rsidR="00453197" w:rsidRPr="004531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марта 2020 г.</w:t>
            </w:r>
          </w:p>
        </w:tc>
      </w:tr>
      <w:tr w:rsidR="00526203" w:rsidTr="0045319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6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Суть вопроса:</w:t>
            </w:r>
          </w:p>
        </w:tc>
        <w:tc>
          <w:tcPr>
            <w:tcW w:w="81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Pr="00CB3A47" w:rsidRDefault="00CE524F" w:rsidP="00CB173F">
            <w:pPr>
              <w:pStyle w:val="aff3"/>
              <w:shd w:val="clear" w:color="auto" w:fill="FFFFFF"/>
              <w:spacing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>По прогнозным оценкам доклада, в 2030 году будет сложнее достичь 20% показателей ЦУР по сравнению с ситуацией в 2015 году. Авторы доклада призывают ускорить принятие мер по достижению ЦУР в регионе, чтобы обратить вспять наблюдаемые негативные тенденции.</w:t>
            </w:r>
          </w:p>
        </w:tc>
      </w:tr>
      <w:tr w:rsidR="00526203" w:rsidTr="00453197">
        <w:trPr>
          <w:gridAfter w:val="2"/>
          <w:wAfter w:w="15697" w:type="dxa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Текущая ситуация:</w:t>
            </w:r>
          </w:p>
        </w:tc>
        <w:tc>
          <w:tcPr>
            <w:tcW w:w="81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Pr="00CB3A47" w:rsidRDefault="00CE524F" w:rsidP="00CB173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>В докладе отмечаются низкие показатели деятельности АТР по большинству поддающихся измерению экологических целей в рамках Повестки-2030. Например, доля возобновляемых источников энергии снизилась до 16%, что является одним из самых низких показателей в мире. Кроме того, регион является источником половины общемирового объема выбросов парниковых газов, причем с 2000 года этот показатель удвоился. В 35% стран продолжается тенденция исчезновения лесов.</w:t>
            </w:r>
          </w:p>
          <w:p w:rsidR="00526203" w:rsidRPr="00CB3A47" w:rsidRDefault="00CE524F" w:rsidP="00CB173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 xml:space="preserve">Регион, скорее всего, достигнет ЦУР 3 (хорошее здоровье и благополучие), ЦУР 4 (качественное образование), ЦУР 6 (чистая </w:t>
            </w:r>
            <w:r w:rsidRPr="00CB3A47">
              <w:rPr>
                <w:color w:val="000000" w:themeColor="text1"/>
                <w:sz w:val="28"/>
                <w:szCs w:val="28"/>
              </w:rPr>
              <w:lastRenderedPageBreak/>
              <w:t>вода и санитария) и ЦУР 16 (мир, правосудие и эффективные институты).</w:t>
            </w:r>
          </w:p>
          <w:p w:rsidR="00526203" w:rsidRPr="00CB3A47" w:rsidRDefault="00CE524F" w:rsidP="00CB173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>Наблюдается также прогресс в решении задач, связанных с экономическим ростом. Так, реальный рост ВВП на душу населения в АТР в 2017 году более чем в два раза превысил среднемировой показатель. 18 стран региона демонстрируют уменьшение неравенства в доходах.</w:t>
            </w:r>
          </w:p>
          <w:p w:rsidR="00526203" w:rsidRPr="00CB3A47" w:rsidRDefault="00CE524F" w:rsidP="00CB173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>Специалисты ЭСКАТО отмечают, что за последние несколько лет доступность данных для оценки показателей ЦУР в АТР значительно возросла с 25% в 2017 году до 42% в 2020 году. Вместе с тем, сохраняется недостаток данных в отношении более чем половины показателей, особенно по тем ЦУР, в достижении которых отмечается медленный прогресс.</w:t>
            </w:r>
          </w:p>
        </w:tc>
      </w:tr>
      <w:tr w:rsidR="00526203" w:rsidTr="0045319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Дальнейшие шаги:</w:t>
            </w:r>
          </w:p>
        </w:tc>
        <w:tc>
          <w:tcPr>
            <w:tcW w:w="1822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 w:rsidP="00CB173F">
            <w:pPr>
              <w:spacing w:after="0" w:line="240" w:lineRule="auto"/>
              <w:ind w:right="100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мнению Исполнительного секретаря ЭСКАТО г-жи </w:t>
            </w:r>
            <w:proofErr w:type="spellStart"/>
            <w:r w:rsidRPr="00CB3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Алишахбаны</w:t>
            </w:r>
            <w:proofErr w:type="spellEnd"/>
            <w:r w:rsidRPr="00CB3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необходимо срочно обеспечить принятие мер в АТР по обеспечению устойчивого использования природных ресурсов, улучшению управления химическими отходами, повышению устойчивости к стихийным бедствиям и адаптации к негативным последствиям изменения климата на основе комплексных стратегий.</w:t>
            </w:r>
          </w:p>
        </w:tc>
      </w:tr>
      <w:tr w:rsidR="00526203" w:rsidTr="00453197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ЦУР:</w:t>
            </w:r>
          </w:p>
        </w:tc>
        <w:tc>
          <w:tcPr>
            <w:tcW w:w="23856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 w:rsidP="00CB173F">
            <w:pPr>
              <w:spacing w:after="0" w:line="240" w:lineRule="auto"/>
              <w:ind w:right="1000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– 17</w:t>
            </w:r>
          </w:p>
        </w:tc>
      </w:tr>
      <w:tr w:rsidR="00526203" w:rsidTr="0045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Ссылка:</w:t>
            </w:r>
          </w:p>
        </w:tc>
        <w:tc>
          <w:tcPr>
            <w:tcW w:w="23856" w:type="dxa"/>
            <w:gridSpan w:val="3"/>
            <w:tcBorders>
              <w:top w:val="nil"/>
            </w:tcBorders>
            <w:shd w:val="clear" w:color="auto" w:fill="FFFFFF" w:themeFill="background1"/>
          </w:tcPr>
          <w:p w:rsidR="00526203" w:rsidRDefault="00CE524F" w:rsidP="00453197">
            <w:pPr>
              <w:spacing w:after="0" w:line="240" w:lineRule="auto"/>
              <w:ind w:right="89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https://www.unescap.org/sites/default/files/publications/ESCAP_Asia_</w:t>
            </w:r>
            <w:r w:rsidR="004531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and_the_Pacific_SDG_Progress_Report_2020.pdf</w:t>
            </w:r>
          </w:p>
        </w:tc>
      </w:tr>
    </w:tbl>
    <w:p w:rsidR="00526203" w:rsidRDefault="00526203">
      <w:pPr>
        <w:pStyle w:val="1"/>
        <w:spacing w:before="0" w:after="192" w:line="240" w:lineRule="auto"/>
        <w:rPr>
          <w:rFonts w:ascii="Times New Roman" w:hAnsi="Times New Roman" w:cs="Times New Roman"/>
          <w:color w:val="000000" w:themeColor="text1"/>
        </w:rPr>
      </w:pPr>
    </w:p>
    <w:p w:rsidR="00526203" w:rsidRDefault="00CE524F">
      <w:pPr>
        <w:pStyle w:val="1"/>
        <w:spacing w:before="0" w:after="192" w:line="240" w:lineRule="auto"/>
        <w:rPr>
          <w:rFonts w:ascii="Times New Roman" w:hAnsi="Times New Roman" w:cs="Times New Roman"/>
          <w:color w:val="000000" w:themeColor="text1"/>
        </w:rPr>
      </w:pPr>
      <w:bookmarkStart w:id="9" w:name="_Toc36482753"/>
      <w:r>
        <w:rPr>
          <w:rFonts w:ascii="Times New Roman" w:hAnsi="Times New Roman" w:cs="Times New Roman"/>
          <w:color w:val="000000" w:themeColor="text1"/>
        </w:rPr>
        <w:t xml:space="preserve">Инструмент визуалицации данных </w:t>
      </w:r>
      <w:r>
        <w:rPr>
          <w:rFonts w:ascii="Times New Roman" w:hAnsi="Times New Roman" w:cs="Times New Roman"/>
          <w:color w:val="000000" w:themeColor="text1"/>
        </w:rPr>
        <w:br/>
        <w:t>по индикаторам ЦУР ЕЭК ООН</w:t>
      </w:r>
      <w:bookmarkEnd w:id="9"/>
    </w:p>
    <w:tbl>
      <w:tblPr>
        <w:tblStyle w:val="-1"/>
        <w:tblW w:w="10421" w:type="dxa"/>
        <w:tblLook w:val="04A0" w:firstRow="1" w:lastRow="0" w:firstColumn="1" w:lastColumn="0" w:noHBand="0" w:noVBand="1"/>
      </w:tblPr>
      <w:tblGrid>
        <w:gridCol w:w="2092"/>
        <w:gridCol w:w="8329"/>
      </w:tblGrid>
      <w:tr w:rsidR="00526203" w:rsidTr="00526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Мероприятие:</w:t>
            </w:r>
          </w:p>
        </w:tc>
        <w:tc>
          <w:tcPr>
            <w:tcW w:w="8328" w:type="dxa"/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Европейская экономическая комиссия ООН (ЕЭК ООН) разработала инструмент визуализации данных по ЦУР</w:t>
            </w:r>
          </w:p>
          <w:p w:rsidR="00526203" w:rsidRDefault="00CE524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марта 2020 г.</w:t>
            </w:r>
          </w:p>
        </w:tc>
      </w:tr>
      <w:tr w:rsidR="00526203" w:rsidTr="0052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Суть вопроса: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pStyle w:val="aff3"/>
              <w:shd w:val="clear" w:color="auto" w:fill="FFFFFF"/>
              <w:spacing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>Инструмент призван оказать содействие 56 странам-членам отслеживать прогресс в реализации Повестки-2030. Платформа содержит данные по 80 индикаторам 17 ЦУР.</w:t>
            </w:r>
          </w:p>
        </w:tc>
      </w:tr>
      <w:tr w:rsidR="00526203" w:rsidTr="00526203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Текущая ситуация: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>Информационная панель ЕЭК ООН по ЦУР была запущена в преддверии Регионального форума ЕЭК ООН по устойчивому развитию, состоявшегося 19 марта в онлайн формате.</w:t>
            </w:r>
          </w:p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 xml:space="preserve">Платформа позволяет пользователям получить информацию отдельно по каждой стране, сделать сравнительный </w:t>
            </w:r>
            <w:proofErr w:type="spellStart"/>
            <w:r w:rsidRPr="00CB3A47">
              <w:rPr>
                <w:color w:val="000000" w:themeColor="text1"/>
                <w:sz w:val="28"/>
                <w:szCs w:val="28"/>
              </w:rPr>
              <w:t>страновой</w:t>
            </w:r>
            <w:proofErr w:type="spellEnd"/>
            <w:r w:rsidRPr="00CB3A47">
              <w:rPr>
                <w:color w:val="000000" w:themeColor="text1"/>
                <w:sz w:val="28"/>
                <w:szCs w:val="28"/>
              </w:rPr>
              <w:t xml:space="preserve"> анализ, ознакомиться с данными по выполнению ЦУР с учетом гендерного фактора, осуществить выгрузку данных в форме графиков и карт.</w:t>
            </w:r>
          </w:p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lastRenderedPageBreak/>
              <w:t xml:space="preserve">Как отмечает ЕЭК ООН, одним из основных пробелов в мониторинге ЦУР является </w:t>
            </w:r>
            <w:proofErr w:type="spellStart"/>
            <w:r w:rsidRPr="00CB3A47">
              <w:rPr>
                <w:color w:val="000000" w:themeColor="text1"/>
                <w:sz w:val="28"/>
                <w:szCs w:val="28"/>
              </w:rPr>
              <w:t>дезагрегирование</w:t>
            </w:r>
            <w:proofErr w:type="spellEnd"/>
            <w:r w:rsidRPr="00CB3A47">
              <w:rPr>
                <w:color w:val="000000" w:themeColor="text1"/>
                <w:sz w:val="28"/>
                <w:szCs w:val="28"/>
              </w:rPr>
              <w:t xml:space="preserve"> данных. Повестка-2030 предусматривает изучение показателей для конкретных групп населения в разбивке по полу, возрасту, этнической принадлежности, а также миграционному, инвалидному и/или коренному статусу. На сегодняшний день единственным </w:t>
            </w:r>
            <w:proofErr w:type="spellStart"/>
            <w:r w:rsidRPr="00CB3A47">
              <w:rPr>
                <w:color w:val="000000" w:themeColor="text1"/>
                <w:sz w:val="28"/>
                <w:szCs w:val="28"/>
              </w:rPr>
              <w:t>дезагрегированием</w:t>
            </w:r>
            <w:proofErr w:type="spellEnd"/>
            <w:r w:rsidRPr="00CB3A47">
              <w:rPr>
                <w:color w:val="000000" w:themeColor="text1"/>
                <w:sz w:val="28"/>
                <w:szCs w:val="28"/>
              </w:rPr>
              <w:t>, предлагаемым в информационной панели ЕЭК ООН, является разбивка по полу.</w:t>
            </w:r>
          </w:p>
        </w:tc>
      </w:tr>
      <w:tr w:rsidR="00526203" w:rsidTr="0052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Дальнейшие шаги: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Pr="00CB3A47" w:rsidRDefault="00CE52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ЕЭК ООН продолжит работу по улучшению измерения данных в области устойчивого развития, включая дезагрегированное измерение бедности, миграционную статистику, экологическую статистику, статистику по изменению климата и статистику по детям и молодежи.</w:t>
            </w:r>
          </w:p>
        </w:tc>
      </w:tr>
      <w:tr w:rsidR="00526203" w:rsidTr="0052620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ЦУР: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(ликвидация нищеты), 5 (гендерное равенство), 13 (борьба с изменением климата), 17 (партнерство в интересах устойчивого развития)</w:t>
            </w:r>
          </w:p>
        </w:tc>
      </w:tr>
      <w:tr w:rsidR="00526203" w:rsidTr="0052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Ссылка:</w:t>
            </w:r>
          </w:p>
        </w:tc>
        <w:tc>
          <w:tcPr>
            <w:tcW w:w="8328" w:type="dxa"/>
            <w:tcBorders>
              <w:top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unece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org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SDG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</w:tc>
      </w:tr>
    </w:tbl>
    <w:p w:rsidR="00526203" w:rsidRDefault="00526203">
      <w:pPr>
        <w:spacing w:after="192" w:line="240" w:lineRule="auto"/>
      </w:pPr>
    </w:p>
    <w:p w:rsidR="00526203" w:rsidRDefault="00CE524F">
      <w:pPr>
        <w:pStyle w:val="1"/>
        <w:spacing w:before="0" w:after="192" w:line="240" w:lineRule="auto"/>
        <w:rPr>
          <w:rFonts w:ascii="Times New Roman" w:hAnsi="Times New Roman" w:cs="Times New Roman"/>
          <w:color w:val="000000" w:themeColor="text1"/>
        </w:rPr>
      </w:pPr>
      <w:bookmarkStart w:id="10" w:name="_Toc36482754"/>
      <w:r>
        <w:rPr>
          <w:rFonts w:ascii="Times New Roman" w:hAnsi="Times New Roman" w:cs="Times New Roman"/>
          <w:color w:val="000000" w:themeColor="text1"/>
        </w:rPr>
        <w:t xml:space="preserve">Оценка влияния крупнейших американских компаний </w:t>
      </w:r>
      <w:r>
        <w:rPr>
          <w:rFonts w:ascii="Times New Roman" w:hAnsi="Times New Roman" w:cs="Times New Roman"/>
          <w:color w:val="000000" w:themeColor="text1"/>
        </w:rPr>
        <w:br/>
        <w:t>на Повестку-2030</w:t>
      </w:r>
      <w:bookmarkEnd w:id="10"/>
    </w:p>
    <w:tbl>
      <w:tblPr>
        <w:tblStyle w:val="-1"/>
        <w:tblW w:w="10421" w:type="dxa"/>
        <w:tblLook w:val="04A0" w:firstRow="1" w:lastRow="0" w:firstColumn="1" w:lastColumn="0" w:noHBand="0" w:noVBand="1"/>
      </w:tblPr>
      <w:tblGrid>
        <w:gridCol w:w="2092"/>
        <w:gridCol w:w="8329"/>
      </w:tblGrid>
      <w:tr w:rsidR="00526203" w:rsidTr="00526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Мероприятие:</w:t>
            </w:r>
          </w:p>
        </w:tc>
        <w:tc>
          <w:tcPr>
            <w:tcW w:w="8328" w:type="dxa"/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Публикация доклада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Trucost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«Актуальные тенденции и влияние деятельности компаний из списка S&amp;P 500 на достижение ЦУР»</w:t>
            </w:r>
          </w:p>
          <w:p w:rsidR="00526203" w:rsidRDefault="00CE524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марта 2020 г.</w:t>
            </w:r>
          </w:p>
        </w:tc>
      </w:tr>
      <w:tr w:rsidR="00526203" w:rsidTr="0052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Суть вопроса: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pStyle w:val="aff3"/>
              <w:shd w:val="clear" w:color="auto" w:fill="FFFFFF"/>
              <w:spacing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B6BA7">
              <w:rPr>
                <w:color w:val="000000" w:themeColor="text1"/>
                <w:sz w:val="28"/>
                <w:szCs w:val="28"/>
              </w:rPr>
              <w:t xml:space="preserve">Компания </w:t>
            </w:r>
            <w:proofErr w:type="spellStart"/>
            <w:r w:rsidRPr="006B6BA7">
              <w:rPr>
                <w:color w:val="000000" w:themeColor="text1"/>
                <w:sz w:val="28"/>
                <w:szCs w:val="28"/>
              </w:rPr>
              <w:t>Trucos</w:t>
            </w:r>
            <w:proofErr w:type="spellEnd"/>
            <w:r w:rsidRPr="006B6BA7">
              <w:rPr>
                <w:color w:val="000000" w:themeColor="text1"/>
                <w:sz w:val="28"/>
                <w:szCs w:val="28"/>
                <w:lang w:val="en-US"/>
              </w:rPr>
              <w:t>t</w:t>
            </w:r>
            <w:r w:rsidRPr="006B6BA7">
              <w:rPr>
                <w:color w:val="000000" w:themeColor="text1"/>
                <w:sz w:val="28"/>
                <w:szCs w:val="28"/>
              </w:rPr>
              <w:t xml:space="preserve"> (оценивает скрытые издержки нерационального использования природных ресурсов компаниями, входящая в группу S&amp;P </w:t>
            </w:r>
            <w:proofErr w:type="spellStart"/>
            <w:r w:rsidRPr="006B6BA7">
              <w:rPr>
                <w:color w:val="000000" w:themeColor="text1"/>
                <w:sz w:val="28"/>
                <w:szCs w:val="28"/>
              </w:rPr>
              <w:t>Global</w:t>
            </w:r>
            <w:proofErr w:type="spellEnd"/>
            <w:r w:rsidRPr="006B6BA7">
              <w:rPr>
                <w:color w:val="000000" w:themeColor="text1"/>
                <w:sz w:val="28"/>
                <w:szCs w:val="28"/>
              </w:rPr>
              <w:t>), опубликовала оценку влияния 500 крупнейших американских компаний на достижение ЦУР. В докладе отмечается растущий интерес инвесторов к сравнению компаний с точки зрения эффективности их вклада в выполнение ЦУР.</w:t>
            </w:r>
          </w:p>
        </w:tc>
      </w:tr>
      <w:tr w:rsidR="00526203" w:rsidTr="00526203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Текущая ситуация: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>Выводы доклада свидетельствуют о том, что ЦУР стали популярным средством информирования общественности об усилиях компаний в области устойчивого развития. Корпоративная отчетность, составленная с отсылкой к ЦУР и «на языке» терминов Повестки-2030, может стать средством привлечения дополнительного капитала.</w:t>
            </w:r>
          </w:p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 xml:space="preserve">Авторы доклада также проанализировали степень риска негативного влияния частного сектора на ЦУР в конкретных отраслях и странах, а также степень зависимости компаний от практики и деятельности, оказывающей негативное воздействие на динамику выполнения Повестки-2030. Для этого </w:t>
            </w:r>
            <w:proofErr w:type="spellStart"/>
            <w:r w:rsidRPr="00CB3A47">
              <w:rPr>
                <w:color w:val="000000" w:themeColor="text1"/>
                <w:sz w:val="28"/>
                <w:szCs w:val="28"/>
              </w:rPr>
              <w:t>Trucos</w:t>
            </w:r>
            <w:proofErr w:type="spellEnd"/>
            <w:r w:rsidRPr="00CB3A47">
              <w:rPr>
                <w:color w:val="000000" w:themeColor="text1"/>
                <w:sz w:val="28"/>
                <w:szCs w:val="28"/>
                <w:lang w:val="en-US"/>
              </w:rPr>
              <w:t>t</w:t>
            </w:r>
            <w:r w:rsidRPr="00CB3A47">
              <w:rPr>
                <w:color w:val="000000" w:themeColor="text1"/>
                <w:sz w:val="28"/>
                <w:szCs w:val="28"/>
              </w:rPr>
              <w:t xml:space="preserve"> в своих расчетах использовала специализированную модель на базе 45 показателей, основанных на 169 задачах ЦУР. Полученный анализ </w:t>
            </w:r>
            <w:r w:rsidRPr="00CB3A47">
              <w:rPr>
                <w:color w:val="000000" w:themeColor="text1"/>
                <w:sz w:val="28"/>
                <w:szCs w:val="28"/>
              </w:rPr>
              <w:lastRenderedPageBreak/>
              <w:t xml:space="preserve">показывает, что ключевые риски затрагивают ЦУР 6 (чистая вода и санитария), 13 (борьба с изменением климата), 15 (сохранение экосистем суши) и 17 (партнерство в интересах устойчивого развития). </w:t>
            </w:r>
          </w:p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>ЦУР 15 является одной из наименее приоритетных для бизнеса, наиболее приоритетная – ЦУР 13, так как компании все чаще раскрывают данные о выбросах парниковых газов, а также о своих климатических стратегиях.</w:t>
            </w:r>
          </w:p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>По данным исследований, многие компании наиболее активно предоставляют сведения о ЦУР 3 (хорошее здоровье и благополучие), ЦУР 8 (достойная работа и экономический рост), ЦУР 12 (ответственное потребление и производство) и ЦУР 13 (борьба с изменением климата).</w:t>
            </w:r>
          </w:p>
          <w:p w:rsidR="00526203" w:rsidRPr="00CB3A47" w:rsidRDefault="00CE524F">
            <w:pPr>
              <w:pStyle w:val="aff3"/>
              <w:shd w:val="clear" w:color="auto" w:fill="FFFFFF"/>
              <w:spacing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B3A47">
              <w:rPr>
                <w:color w:val="000000" w:themeColor="text1"/>
                <w:sz w:val="28"/>
                <w:szCs w:val="28"/>
              </w:rPr>
              <w:t>В докладе также говорится, что предприятия могут вносить свой вклад в Повестку-2030 посредством продажи продуктов и услуг, ориентированных на достижение ЦУР, включая переработанную сталь, возобновляемые источники энергии, зеленое строительство, натуральную и органическую косметику.</w:t>
            </w:r>
          </w:p>
        </w:tc>
      </w:tr>
      <w:tr w:rsidR="00526203" w:rsidTr="0052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ЦУР:</w:t>
            </w:r>
          </w:p>
        </w:tc>
        <w:tc>
          <w:tcPr>
            <w:tcW w:w="83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26203" w:rsidRPr="006B6BA7" w:rsidRDefault="00CE52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6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(хорошее здоровье и благополучие), 6 (чистая вода и санитария), 8 (достойная работа и экономический рост), 12 (ответственное потребление и производство), 13 (борьба с изменением климата), 15 (сохранение экосистем суши), 17 (партнерство в интересах устойчивого развития)</w:t>
            </w:r>
          </w:p>
        </w:tc>
      </w:tr>
      <w:tr w:rsidR="00526203" w:rsidTr="00526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il"/>
            </w:tcBorders>
            <w:shd w:val="clear" w:color="auto" w:fill="FFFFFF" w:themeFill="background1"/>
          </w:tcPr>
          <w:p w:rsidR="00526203" w:rsidRDefault="00CE52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Ссылка:</w:t>
            </w:r>
          </w:p>
        </w:tc>
        <w:tc>
          <w:tcPr>
            <w:tcW w:w="8328" w:type="dxa"/>
            <w:tcBorders>
              <w:top w:val="nil"/>
            </w:tcBorders>
            <w:shd w:val="clear" w:color="auto" w:fill="FFFFFF" w:themeFill="background1"/>
          </w:tcPr>
          <w:p w:rsidR="00526203" w:rsidRPr="006B6BA7" w:rsidRDefault="003933B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spglobal</w:t>
              </w:r>
              <w:proofErr w:type="spellEnd"/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com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/_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division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_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assets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images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images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article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images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charts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tables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sustainable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development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goals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misunderstood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market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opportunity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sp</w:t>
              </w:r>
              <w:proofErr w:type="spellEnd"/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emerging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trends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and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analysis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-05.</w:t>
              </w:r>
              <w:r w:rsidR="00CE524F" w:rsidRPr="006B6BA7">
                <w:rPr>
                  <w:rStyle w:val="-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pdf</w:t>
              </w:r>
            </w:hyperlink>
          </w:p>
        </w:tc>
      </w:tr>
    </w:tbl>
    <w:p w:rsidR="00526203" w:rsidRDefault="00526203">
      <w:pPr>
        <w:spacing w:after="192" w:line="240" w:lineRule="auto"/>
      </w:pPr>
    </w:p>
    <w:sectPr w:rsidR="00526203">
      <w:headerReference w:type="default" r:id="rId9"/>
      <w:pgSz w:w="11906" w:h="16838"/>
      <w:pgMar w:top="1134" w:right="567" w:bottom="567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3B6" w:rsidRDefault="003933B6">
      <w:pPr>
        <w:spacing w:after="0" w:line="240" w:lineRule="auto"/>
      </w:pPr>
      <w:r>
        <w:separator/>
      </w:r>
    </w:p>
  </w:endnote>
  <w:endnote w:type="continuationSeparator" w:id="0">
    <w:p w:rsidR="003933B6" w:rsidRDefault="0039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w Cen MT Condensed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w Cen MT"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3B6" w:rsidRDefault="003933B6">
      <w:pPr>
        <w:spacing w:after="0" w:line="240" w:lineRule="auto"/>
      </w:pPr>
      <w:r>
        <w:separator/>
      </w:r>
    </w:p>
  </w:footnote>
  <w:footnote w:type="continuationSeparator" w:id="0">
    <w:p w:rsidR="003933B6" w:rsidRDefault="0039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769160"/>
      <w:docPartObj>
        <w:docPartGallery w:val="Page Numbers (Top of Page)"/>
        <w:docPartUnique/>
      </w:docPartObj>
    </w:sdtPr>
    <w:sdtEndPr/>
    <w:sdtContent>
      <w:p w:rsidR="00526203" w:rsidRDefault="00CE524F">
        <w:pPr>
          <w:pStyle w:val="af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A726AE">
          <w:rPr>
            <w:noProof/>
          </w:rPr>
          <w:t>12</w:t>
        </w:r>
        <w:r>
          <w:fldChar w:fldCharType="end"/>
        </w:r>
      </w:p>
    </w:sdtContent>
  </w:sdt>
  <w:p w:rsidR="00526203" w:rsidRDefault="00526203">
    <w:pPr>
      <w:pStyle w:val="afa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03"/>
    <w:rsid w:val="000A2D70"/>
    <w:rsid w:val="003933B6"/>
    <w:rsid w:val="00453197"/>
    <w:rsid w:val="00526203"/>
    <w:rsid w:val="006B6BA7"/>
    <w:rsid w:val="00A726AE"/>
    <w:rsid w:val="00CB173F"/>
    <w:rsid w:val="00CB3A47"/>
    <w:rsid w:val="00C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8400"/>
  <w15:docId w15:val="{87C56E0D-BB28-4D77-B81A-6F0C2B2C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72F"/>
    <w:pPr>
      <w:spacing w:after="200"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9372F"/>
    <w:pPr>
      <w:pBdr>
        <w:bottom w:val="thinThickSmallGap" w:sz="12" w:space="1" w:color="1C6194"/>
      </w:pBdr>
      <w:spacing w:before="400"/>
      <w:jc w:val="center"/>
      <w:outlineLvl w:val="0"/>
    </w:pPr>
    <w:rPr>
      <w:caps/>
      <w:color w:val="13416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372F"/>
    <w:pPr>
      <w:pBdr>
        <w:bottom w:val="single" w:sz="4" w:space="1" w:color="134162"/>
      </w:pBdr>
      <w:spacing w:before="400"/>
      <w:jc w:val="center"/>
      <w:outlineLvl w:val="1"/>
    </w:pPr>
    <w:rPr>
      <w:caps/>
      <w:color w:val="13416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9372F"/>
    <w:pPr>
      <w:pBdr>
        <w:top w:val="dotted" w:sz="4" w:space="1" w:color="134162"/>
        <w:bottom w:val="dotted" w:sz="4" w:space="1" w:color="134162"/>
      </w:pBdr>
      <w:spacing w:before="300"/>
      <w:jc w:val="center"/>
      <w:outlineLvl w:val="2"/>
    </w:pPr>
    <w:rPr>
      <w:caps/>
      <w:color w:val="134162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9372F"/>
    <w:pPr>
      <w:pBdr>
        <w:bottom w:val="dotted" w:sz="4" w:space="1" w:color="1C6194"/>
      </w:pBdr>
      <w:spacing w:after="120"/>
      <w:jc w:val="center"/>
      <w:outlineLvl w:val="3"/>
    </w:pPr>
    <w:rPr>
      <w:caps/>
      <w:color w:val="134162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29372F"/>
    <w:pPr>
      <w:spacing w:before="320" w:after="120"/>
      <w:jc w:val="center"/>
      <w:outlineLvl w:val="4"/>
    </w:pPr>
    <w:rPr>
      <w:caps/>
      <w:color w:val="134162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72F"/>
    <w:pPr>
      <w:spacing w:after="120"/>
      <w:jc w:val="center"/>
      <w:outlineLvl w:val="5"/>
    </w:pPr>
    <w:rPr>
      <w:caps/>
      <w:color w:val="1C619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72F"/>
    <w:pPr>
      <w:spacing w:after="120"/>
      <w:jc w:val="center"/>
      <w:outlineLvl w:val="6"/>
    </w:pPr>
    <w:rPr>
      <w:i/>
      <w:iCs/>
      <w:caps/>
      <w:color w:val="1C619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72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72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525FF"/>
  </w:style>
  <w:style w:type="character" w:customStyle="1" w:styleId="a4">
    <w:name w:val="Нижний колонтитул Знак"/>
    <w:basedOn w:val="a0"/>
    <w:uiPriority w:val="99"/>
    <w:qFormat/>
    <w:rsid w:val="00D525FF"/>
  </w:style>
  <w:style w:type="character" w:customStyle="1" w:styleId="-">
    <w:name w:val="Интернет-ссылка"/>
    <w:basedOn w:val="a0"/>
    <w:uiPriority w:val="99"/>
    <w:unhideWhenUsed/>
    <w:rsid w:val="0038205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qFormat/>
    <w:rsid w:val="00C32D6F"/>
    <w:rPr>
      <w:color w:val="B26B02" w:themeColor="followedHyperlink"/>
      <w:u w:val="single"/>
    </w:rPr>
  </w:style>
  <w:style w:type="character" w:customStyle="1" w:styleId="a6">
    <w:name w:val="Подзаголовок Знак"/>
    <w:basedOn w:val="a0"/>
    <w:uiPriority w:val="11"/>
    <w:qFormat/>
    <w:rsid w:val="0029372F"/>
    <w:rPr>
      <w:caps/>
      <w:spacing w:val="2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qFormat/>
    <w:rsid w:val="0029372F"/>
    <w:rPr>
      <w:caps/>
      <w:color w:val="134163" w:themeColor="accent2" w:themeShade="80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29372F"/>
    <w:rPr>
      <w:caps/>
      <w:color w:val="134163" w:themeColor="accent2" w:themeShade="80"/>
      <w:spacing w:val="20"/>
      <w:sz w:val="28"/>
      <w:szCs w:val="28"/>
    </w:rPr>
  </w:style>
  <w:style w:type="character" w:customStyle="1" w:styleId="a7">
    <w:name w:val="Выделенная цитата Знак"/>
    <w:basedOn w:val="a0"/>
    <w:uiPriority w:val="30"/>
    <w:qFormat/>
    <w:rsid w:val="0029372F"/>
    <w:rPr>
      <w:caps/>
      <w:color w:val="134162" w:themeColor="accent2" w:themeShade="7F"/>
      <w:spacing w:val="5"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A202EC"/>
    <w:rPr>
      <w:rFonts w:ascii="Tahoma" w:hAnsi="Tahoma" w:cs="Tahoma"/>
      <w:sz w:val="16"/>
      <w:szCs w:val="16"/>
    </w:rPr>
  </w:style>
  <w:style w:type="character" w:customStyle="1" w:styleId="a9">
    <w:name w:val="Текст сноски Знак"/>
    <w:basedOn w:val="a0"/>
    <w:uiPriority w:val="99"/>
    <w:semiHidden/>
    <w:qFormat/>
    <w:rsid w:val="006D37A4"/>
    <w:rPr>
      <w:sz w:val="20"/>
      <w:szCs w:val="20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D37A4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3717C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qFormat/>
    <w:rsid w:val="0029372F"/>
    <w:rPr>
      <w:caps/>
      <w:color w:val="134162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29372F"/>
    <w:rPr>
      <w:caps/>
      <w:color w:val="134162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qFormat/>
    <w:rsid w:val="0029372F"/>
    <w:rPr>
      <w:caps/>
      <w:color w:val="134162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29372F"/>
    <w:rPr>
      <w:caps/>
      <w:color w:val="1C619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29372F"/>
    <w:rPr>
      <w:i/>
      <w:iCs/>
      <w:caps/>
      <w:color w:val="1C619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29372F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29372F"/>
    <w:rPr>
      <w:i/>
      <w:iCs/>
      <w:caps/>
      <w:spacing w:val="10"/>
      <w:sz w:val="20"/>
      <w:szCs w:val="20"/>
    </w:rPr>
  </w:style>
  <w:style w:type="character" w:customStyle="1" w:styleId="ab">
    <w:name w:val="Заголовок Знак"/>
    <w:basedOn w:val="a0"/>
    <w:uiPriority w:val="10"/>
    <w:qFormat/>
    <w:rsid w:val="0029372F"/>
    <w:rPr>
      <w:caps/>
      <w:color w:val="134163" w:themeColor="accent2" w:themeShade="80"/>
      <w:spacing w:val="50"/>
      <w:sz w:val="44"/>
      <w:szCs w:val="44"/>
    </w:rPr>
  </w:style>
  <w:style w:type="character" w:styleId="ac">
    <w:name w:val="Strong"/>
    <w:uiPriority w:val="22"/>
    <w:qFormat/>
    <w:rsid w:val="0029372F"/>
    <w:rPr>
      <w:b/>
      <w:bCs/>
      <w:color w:val="1C6194" w:themeColor="accent2" w:themeShade="BF"/>
      <w:spacing w:val="5"/>
    </w:rPr>
  </w:style>
  <w:style w:type="character" w:styleId="ad">
    <w:name w:val="Emphasis"/>
    <w:uiPriority w:val="20"/>
    <w:qFormat/>
    <w:rsid w:val="0029372F"/>
    <w:rPr>
      <w:caps/>
      <w:spacing w:val="5"/>
      <w:sz w:val="20"/>
      <w:szCs w:val="20"/>
    </w:rPr>
  </w:style>
  <w:style w:type="character" w:customStyle="1" w:styleId="ae">
    <w:name w:val="Без интервала Знак"/>
    <w:basedOn w:val="a0"/>
    <w:uiPriority w:val="1"/>
    <w:qFormat/>
    <w:rsid w:val="0029372F"/>
  </w:style>
  <w:style w:type="character" w:customStyle="1" w:styleId="21">
    <w:name w:val="Цитата 2 Знак"/>
    <w:basedOn w:val="a0"/>
    <w:link w:val="21"/>
    <w:uiPriority w:val="29"/>
    <w:qFormat/>
    <w:rsid w:val="0029372F"/>
    <w:rPr>
      <w:i/>
      <w:iCs/>
    </w:rPr>
  </w:style>
  <w:style w:type="character" w:styleId="af">
    <w:name w:val="Subtle Emphasis"/>
    <w:uiPriority w:val="19"/>
    <w:qFormat/>
    <w:rsid w:val="0029372F"/>
    <w:rPr>
      <w:i/>
      <w:iCs/>
    </w:rPr>
  </w:style>
  <w:style w:type="character" w:styleId="af0">
    <w:name w:val="Intense Emphasis"/>
    <w:uiPriority w:val="21"/>
    <w:qFormat/>
    <w:rsid w:val="0029372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372F"/>
    <w:rPr>
      <w:rFonts w:asciiTheme="minorHAnsi" w:eastAsiaTheme="minorEastAsia" w:hAnsiTheme="minorHAnsi" w:cstheme="minorBidi"/>
      <w:i/>
      <w:iCs/>
      <w:color w:val="134162" w:themeColor="accent2" w:themeShade="7F"/>
    </w:rPr>
  </w:style>
  <w:style w:type="character" w:styleId="af2">
    <w:name w:val="Intense Reference"/>
    <w:uiPriority w:val="32"/>
    <w:qFormat/>
    <w:rsid w:val="0029372F"/>
    <w:rPr>
      <w:rFonts w:asciiTheme="minorHAnsi" w:eastAsiaTheme="minorEastAsia" w:hAnsiTheme="minorHAnsi" w:cstheme="minorBidi"/>
      <w:b/>
      <w:bCs/>
      <w:i/>
      <w:iCs/>
      <w:color w:val="134162" w:themeColor="accent2" w:themeShade="7F"/>
    </w:rPr>
  </w:style>
  <w:style w:type="character" w:styleId="af3">
    <w:name w:val="Book Title"/>
    <w:uiPriority w:val="33"/>
    <w:qFormat/>
    <w:rsid w:val="0029372F"/>
    <w:rPr>
      <w:caps/>
      <w:color w:val="134162" w:themeColor="accent2" w:themeShade="7F"/>
      <w:spacing w:val="5"/>
      <w:u w:val="none" w:color="134162"/>
    </w:rPr>
  </w:style>
  <w:style w:type="character" w:customStyle="1" w:styleId="210">
    <w:name w:val="Цитата 2 Знак1"/>
    <w:basedOn w:val="a0"/>
    <w:link w:val="22"/>
    <w:uiPriority w:val="99"/>
    <w:semiHidden/>
    <w:unhideWhenUsed/>
    <w:qFormat/>
    <w:rsid w:val="006F7C0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34434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color w:val="auto"/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sz w:val="28"/>
      <w:szCs w:val="28"/>
    </w:rPr>
  </w:style>
  <w:style w:type="character" w:customStyle="1" w:styleId="ListLabel26">
    <w:name w:val="ListLabel 26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8"/>
      <w:szCs w:val="28"/>
    </w:rPr>
  </w:style>
  <w:style w:type="character" w:customStyle="1" w:styleId="af4">
    <w:name w:val="Ссылка указателя"/>
    <w:qFormat/>
  </w:style>
  <w:style w:type="paragraph" w:styleId="af5">
    <w:name w:val="Title"/>
    <w:basedOn w:val="a"/>
    <w:next w:val="af6"/>
    <w:uiPriority w:val="10"/>
    <w:qFormat/>
    <w:rsid w:val="0029372F"/>
    <w:pPr>
      <w:pBdr>
        <w:top w:val="dotted" w:sz="2" w:space="1" w:color="134163"/>
        <w:bottom w:val="dotted" w:sz="2" w:space="6" w:color="134163"/>
      </w:pBdr>
      <w:spacing w:before="500" w:after="300" w:line="240" w:lineRule="auto"/>
      <w:jc w:val="center"/>
    </w:pPr>
    <w:rPr>
      <w:caps/>
      <w:color w:val="134163" w:themeColor="accent2" w:themeShade="80"/>
      <w:spacing w:val="50"/>
      <w:sz w:val="44"/>
      <w:szCs w:val="44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DejaVu Sans"/>
    </w:rPr>
  </w:style>
  <w:style w:type="paragraph" w:styleId="af8">
    <w:name w:val="caption"/>
    <w:basedOn w:val="a"/>
    <w:next w:val="a"/>
    <w:uiPriority w:val="35"/>
    <w:semiHidden/>
    <w:unhideWhenUsed/>
    <w:qFormat/>
    <w:rsid w:val="0029372F"/>
    <w:rPr>
      <w:caps/>
      <w:spacing w:val="10"/>
      <w:sz w:val="18"/>
      <w:szCs w:val="18"/>
    </w:rPr>
  </w:style>
  <w:style w:type="paragraph" w:styleId="af9">
    <w:name w:val="index heading"/>
    <w:basedOn w:val="a"/>
    <w:qFormat/>
    <w:pPr>
      <w:suppressLineNumbers/>
    </w:pPr>
    <w:rPr>
      <w:rFonts w:cs="DejaVu Sans"/>
    </w:rPr>
  </w:style>
  <w:style w:type="paragraph" w:styleId="afa">
    <w:name w:val="header"/>
    <w:basedOn w:val="a"/>
    <w:uiPriority w:val="99"/>
    <w:unhideWhenUsed/>
    <w:rsid w:val="00D525FF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uiPriority w:val="99"/>
    <w:unhideWhenUsed/>
    <w:rsid w:val="00D525FF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Subtitle"/>
    <w:basedOn w:val="a"/>
    <w:next w:val="a"/>
    <w:uiPriority w:val="11"/>
    <w:qFormat/>
    <w:rsid w:val="0029372F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afd">
    <w:name w:val="No Spacing"/>
    <w:basedOn w:val="a"/>
    <w:uiPriority w:val="1"/>
    <w:qFormat/>
    <w:rsid w:val="0029372F"/>
    <w:pPr>
      <w:spacing w:after="0" w:line="240" w:lineRule="auto"/>
    </w:pPr>
  </w:style>
  <w:style w:type="paragraph" w:styleId="afe">
    <w:name w:val="Intense Quote"/>
    <w:basedOn w:val="a"/>
    <w:next w:val="a"/>
    <w:uiPriority w:val="30"/>
    <w:qFormat/>
    <w:rsid w:val="0029372F"/>
    <w:pPr>
      <w:pBdr>
        <w:top w:val="dotted" w:sz="2" w:space="10" w:color="134163"/>
        <w:bottom w:val="dotted" w:sz="2" w:space="4" w:color="134163"/>
      </w:pBdr>
      <w:spacing w:before="160" w:line="300" w:lineRule="auto"/>
      <w:ind w:left="1440" w:right="1440"/>
    </w:pPr>
    <w:rPr>
      <w:caps/>
      <w:color w:val="134162" w:themeColor="accent2" w:themeShade="7F"/>
      <w:spacing w:val="5"/>
      <w:sz w:val="20"/>
      <w:szCs w:val="20"/>
    </w:rPr>
  </w:style>
  <w:style w:type="paragraph" w:styleId="aff">
    <w:name w:val="TOC Heading"/>
    <w:basedOn w:val="1"/>
    <w:next w:val="a"/>
    <w:uiPriority w:val="39"/>
    <w:semiHidden/>
    <w:unhideWhenUsed/>
    <w:qFormat/>
    <w:rsid w:val="0029372F"/>
  </w:style>
  <w:style w:type="paragraph" w:styleId="23">
    <w:name w:val="toc 2"/>
    <w:basedOn w:val="a"/>
    <w:next w:val="a"/>
    <w:autoRedefine/>
    <w:uiPriority w:val="39"/>
    <w:semiHidden/>
    <w:unhideWhenUsed/>
    <w:rsid w:val="00A202EC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A202EC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A202EC"/>
    <w:pPr>
      <w:spacing w:after="100"/>
      <w:ind w:left="440"/>
    </w:pPr>
    <w:rPr>
      <w:rFonts w:eastAsiaTheme="minorEastAsia"/>
      <w:lang w:eastAsia="ru-RU"/>
    </w:rPr>
  </w:style>
  <w:style w:type="paragraph" w:styleId="aff0">
    <w:name w:val="Balloon Text"/>
    <w:basedOn w:val="a"/>
    <w:uiPriority w:val="99"/>
    <w:semiHidden/>
    <w:unhideWhenUsed/>
    <w:qFormat/>
    <w:rsid w:val="00A202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1">
    <w:name w:val="footnote text"/>
    <w:basedOn w:val="a"/>
    <w:uiPriority w:val="99"/>
    <w:semiHidden/>
    <w:unhideWhenUsed/>
    <w:rsid w:val="006D37A4"/>
    <w:pPr>
      <w:spacing w:after="0" w:line="240" w:lineRule="auto"/>
    </w:pPr>
    <w:rPr>
      <w:sz w:val="20"/>
      <w:szCs w:val="20"/>
    </w:rPr>
  </w:style>
  <w:style w:type="paragraph" w:styleId="aff2">
    <w:name w:val="List Paragraph"/>
    <w:basedOn w:val="a"/>
    <w:uiPriority w:val="34"/>
    <w:qFormat/>
    <w:rsid w:val="0029372F"/>
    <w:pPr>
      <w:ind w:left="720"/>
      <w:contextualSpacing/>
    </w:pPr>
  </w:style>
  <w:style w:type="paragraph" w:customStyle="1" w:styleId="Default">
    <w:name w:val="Default"/>
    <w:qFormat/>
    <w:rsid w:val="007027DF"/>
    <w:rPr>
      <w:rFonts w:ascii="Arial" w:hAnsi="Arial" w:cs="Arial"/>
      <w:color w:val="000000"/>
      <w:sz w:val="24"/>
      <w:szCs w:val="24"/>
    </w:rPr>
  </w:style>
  <w:style w:type="paragraph" w:styleId="22">
    <w:name w:val="Quote"/>
    <w:basedOn w:val="a"/>
    <w:next w:val="a"/>
    <w:link w:val="210"/>
    <w:uiPriority w:val="29"/>
    <w:qFormat/>
    <w:rsid w:val="0029372F"/>
    <w:rPr>
      <w:i/>
      <w:iCs/>
    </w:rPr>
  </w:style>
  <w:style w:type="paragraph" w:customStyle="1" w:styleId="PersonalName">
    <w:name w:val="Personal Name"/>
    <w:basedOn w:val="af5"/>
    <w:qFormat/>
    <w:rsid w:val="0029372F"/>
    <w:rPr>
      <w:b/>
      <w:caps w:val="0"/>
      <w:color w:val="000000"/>
      <w:sz w:val="28"/>
      <w:szCs w:val="28"/>
    </w:rPr>
  </w:style>
  <w:style w:type="paragraph" w:styleId="aff3">
    <w:name w:val="Normal (Web)"/>
    <w:basedOn w:val="a"/>
    <w:uiPriority w:val="99"/>
    <w:unhideWhenUsed/>
    <w:qFormat/>
    <w:rsid w:val="005138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1"/>
    <w:uiPriority w:val="59"/>
    <w:rsid w:val="00713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A5629E"/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global.com/_division_assets/images/images/article-images-charts-tables/sustainable-development-goals-a-misunderstood-market-opportunity/sp-emerging-trends-and-analysis-0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docs.org/ru/E/CN.6/2020/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5E74-AA08-48A1-95E5-3452EA4E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12</Pages>
  <Words>3602</Words>
  <Characters>20538</Characters>
  <Application>Microsoft Office Word</Application>
  <DocSecurity>0</DocSecurity>
  <Lines>171</Lines>
  <Paragraphs>48</Paragraphs>
  <ScaleCrop>false</ScaleCrop>
  <Company>Swemel</Company>
  <LinksUpToDate>false</LinksUpToDate>
  <CharactersWithSpaces>24092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dc:description/>
  <cp:lastModifiedBy>Корельский Игорь Владимирович</cp:lastModifiedBy>
  <cp:revision>89</cp:revision>
  <cp:lastPrinted>2020-03-04T16:31:00Z</cp:lastPrinted>
  <dcterms:created xsi:type="dcterms:W3CDTF">2020-03-26T14:02:00Z</dcterms:created>
  <dcterms:modified xsi:type="dcterms:W3CDTF">2020-04-02T07:59:00Z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